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png" ContentType="image/png"/>
  <Override PartName="/word/media/image2.jpeg" ContentType="image/jpe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"/>
        <w:spacing w:lineRule="atLeast" w:line="30"/>
        <w:jc w:val="end"/>
        <w:rPr>
          <w:rFonts w:ascii="Calibri" w:hAnsi="Calibri" w:eastAsia="Lucida Sans Unicode" w:cs="Calibri"/>
          <w:sz w:val="22"/>
          <w:szCs w:val="22"/>
        </w:rPr>
      </w:pPr>
      <w:r>
        <w:rPr>
          <w:rFonts w:eastAsia="Lucida Sans Unicode" w:cs="Calibri" w:ascii="Calibri" w:hAnsi="Calibri"/>
          <w:sz w:val="22"/>
          <w:szCs w:val="22"/>
        </w:rPr>
      </w:r>
    </w:p>
    <w:tbl>
      <w:tblPr>
        <w:tblW w:w="9229" w:type="dxa"/>
        <w:jc w:val="start"/>
        <w:tblInd w:w="57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799"/>
        <w:gridCol w:w="7429"/>
      </w:tblGrid>
      <w:tr>
        <w:trPr/>
        <w:tc>
          <w:tcPr>
            <w:tcW w:w="9228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44"/>
                <w:szCs w:val="4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44"/>
                <w:szCs w:val="44"/>
              </w:rPr>
              <w:t>BUDYNEK - B</w:t>
            </w:r>
          </w:p>
        </w:tc>
      </w:tr>
      <w:tr>
        <w:trPr/>
        <w:tc>
          <w:tcPr>
            <w:tcW w:w="9228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CZĘŚĆ – III:  PROJEKT WYKONAWCZY</w:t>
            </w:r>
          </w:p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BRANŻY SANITARNEJ</w:t>
            </w:r>
          </w:p>
        </w:tc>
      </w:tr>
      <w:tr>
        <w:trPr>
          <w:trHeight w:val="450" w:hRule="atLeast"/>
        </w:trPr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NAZWA  INWESTYCJI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Remont pomieszczeń dydaktycznych w budynku „B” i „C”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Zespołu Szkół Ponadpodstawowych Nr 2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Centrum Kształcenia Zawodowego im. T. Kościuszki w Łowiczu,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w ramach projektu pod nazwą: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sz w:val="24"/>
                <w:szCs w:val="24"/>
              </w:rPr>
              <w:t>„</w:t>
            </w:r>
            <w:r>
              <w:rPr>
                <w:rFonts w:cs="Arial" w:ascii="Arial" w:hAnsi="Arial"/>
                <w:sz w:val="24"/>
                <w:szCs w:val="24"/>
              </w:rPr>
              <w:t>Modernizacja pracowni warsztatowych do potrzeb zdobycia kwalifikacji branżowych na nowoczesnym rynku pracy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  <w:t>mechanizacji rolnictwa”</w:t>
            </w:r>
          </w:p>
        </w:tc>
      </w:tr>
      <w:tr>
        <w:trPr/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ADRES INWESTYCJI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FFFFFF" w:val="clear"/>
            <w:vAlign w:val="center"/>
          </w:tcPr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ul. Blich 10, 99-400 Łowicz,</w:t>
            </w:r>
          </w:p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dz. nr ewid. 1376/6, obręb: 0004 Korabka</w:t>
            </w:r>
          </w:p>
        </w:tc>
      </w:tr>
      <w:tr>
        <w:trPr/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KATEGORIA BUDYNKU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IX – budynki szkolne</w:t>
            </w:r>
          </w:p>
        </w:tc>
      </w:tr>
      <w:tr>
        <w:trPr/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IDENTYFIKATOR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100501_1.0004.1376/6</w:t>
            </w:r>
          </w:p>
        </w:tc>
      </w:tr>
      <w:tr>
        <w:trPr/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ZAMAWIAJĄCY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Powiat Łowicki,  ul. Stanisławskiego 30,  99-400 Łowicz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W w:w="9264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698"/>
        <w:gridCol w:w="6118"/>
        <w:gridCol w:w="1448"/>
      </w:tblGrid>
      <w:tr>
        <w:trPr/>
        <w:tc>
          <w:tcPr>
            <w:tcW w:w="9264" w:type="dxa"/>
            <w:gridSpan w:val="3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OPRACOWANIE</w:t>
            </w:r>
          </w:p>
        </w:tc>
      </w:tr>
      <w:tr>
        <w:trPr/>
        <w:tc>
          <w:tcPr>
            <w:tcW w:w="1698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6118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44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>
        <w:trPr/>
        <w:tc>
          <w:tcPr>
            <w:tcW w:w="1698" w:type="dxa"/>
            <w:vMerge w:val="restart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INSTALACJE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SANITARNE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6118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Projektant:</w:t>
            </w:r>
          </w:p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MGR. INŻ. MARCIN LASKA</w:t>
            </w:r>
          </w:p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upr. w spec. inst. sanitarnych nr LOD/1625/POOS/11</w:t>
            </w:r>
          </w:p>
        </w:tc>
        <w:tc>
          <w:tcPr>
            <w:tcW w:w="144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1698" w:type="dxa"/>
            <w:vMerge w:val="continue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Normal"/>
              <w:snapToGrid w:val="fals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6118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Współpraca - opracowanie: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 INŻ. MICHAŁ WOJTYSIAK</w:t>
            </w:r>
          </w:p>
        </w:tc>
        <w:tc>
          <w:tcPr>
            <w:tcW w:w="144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264" w:type="dxa"/>
            <w:gridSpan w:val="3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DATA OPRACOWANIA: PAŹDZIERNIK – 2025r.</w:t>
            </w:r>
          </w:p>
        </w:tc>
      </w:tr>
    </w:tbl>
    <w:p>
      <w:pPr>
        <w:pStyle w:val="Normal"/>
        <w:jc w:val="start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i/>
          <w:i/>
          <w:iCs/>
          <w:u w:val="single"/>
        </w:rPr>
      </w:pPr>
      <w:r>
        <w:rPr>
          <w:rFonts w:cs="Arial" w:ascii="Arial" w:hAnsi="Arial"/>
          <w:b/>
          <w:bCs/>
          <w:i/>
          <w:iCs/>
          <w:u w:val="single"/>
        </w:rPr>
        <w:t xml:space="preserve">EGZ. NR       </w:t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spacing w:lineRule="auto" w:line="360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ListParagraph"/>
        <w:widowControl/>
        <w:bidi w:val="0"/>
        <w:spacing w:lineRule="auto" w:line="360" w:before="0" w:after="0"/>
        <w:ind w:hanging="0" w:start="36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ZAWARTOŚĆ OPRACOWANIA:</w:t>
      </w:r>
    </w:p>
    <w:p>
      <w:pPr>
        <w:pStyle w:val="ListParagraph"/>
        <w:widowControl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A:  ZAŁĄCZONE DOKUMENTY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Uprawnienia i przynależność projektantów do izby;   str. 3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Oświadczenie projektanta;   str. 6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B:  OPIS TECHNICZNY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1. Przedmiot opracowania;   - str. 7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2. Podstawa opracowania;   - str. 7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3. Zakres opracowania;   -  str. 7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4. Dane obliczeniowe dot. instalacji c.o.;  -  str. 8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5. Rozwiązania projektowe;   - str. 8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6. Uwagi końcowe;   - str. 11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Header"/>
        <w:bidi w:val="0"/>
        <w:spacing w:lineRule="auto" w:line="36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C:  CZĘŚĆ RYSUNKOWA</w:t>
      </w:r>
    </w:p>
    <w:p>
      <w:pPr>
        <w:pStyle w:val="Normal"/>
        <w:bidi w:val="0"/>
        <w:spacing w:lineRule="auto" w:line="36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Rys. S-01</w:t>
        <w:tab/>
        <w:t>Instalacja c.o. w sali gimnastycznej – rzut parteru</w:t>
      </w:r>
    </w:p>
    <w:p>
      <w:pPr>
        <w:pStyle w:val="Normal"/>
        <w:bidi w:val="0"/>
        <w:spacing w:lineRule="auto" w:line="36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Rys. S-02</w:t>
        <w:tab/>
        <w:t>Obieg grzewczy instalacji c.o. dla sali gimn. wraz z zapleczem</w:t>
      </w:r>
    </w:p>
    <w:p>
      <w:pPr>
        <w:pStyle w:val="Normal"/>
        <w:bidi w:val="0"/>
        <w:spacing w:lineRule="auto" w:line="36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ab/>
        <w:tab/>
        <w:t>i łącznikiem – rzut parteru</w:t>
      </w:r>
    </w:p>
    <w:p>
      <w:pPr>
        <w:pStyle w:val="Normal"/>
        <w:bidi w:val="0"/>
        <w:spacing w:lineRule="auto" w:line="36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Rys. S-03</w:t>
        <w:tab/>
        <w:t>Obieg grzewczy instalacji c.o. dla sali gimn. wraz z zapleczem</w:t>
      </w:r>
    </w:p>
    <w:p>
      <w:pPr>
        <w:pStyle w:val="Normal"/>
        <w:bidi w:val="0"/>
        <w:spacing w:lineRule="auto" w:line="36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ab/>
        <w:tab/>
        <w:t>i łącznikiem – rozwinięcie instalacji c.o.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Obraz-1. Kopia uprawnień budowlanych projektanta.</w:t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2315" cy="8223885"/>
            <wp:effectExtent l="0" t="0" r="0" b="0"/>
            <wp:wrapSquare wrapText="largest"/>
            <wp:docPr id="1" name="Obraz1" descr="" title="Kopia uprawnień budowlanych projektanta Marcina Laski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budowlanych projektanta Marcina Laski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250" t="-177" r="-250" b="-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315" cy="8223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2315" cy="8298180"/>
            <wp:effectExtent l="0" t="0" r="0" b="0"/>
            <wp:wrapSquare wrapText="largest"/>
            <wp:docPr id="2" name="Obraz2" descr="" title="Kopia uprawnień budowlanych projektanta Marcina Laski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budowlanych projektanta Marcina Laski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125" t="-87" r="-125" b="-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315" cy="8298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  <w:t>Obraz-2. Kopia zaświadczenia z izby zawodowej projektanta.</w:t>
      </w:r>
    </w:p>
    <w:p>
      <w:pPr>
        <w:pStyle w:val="Normal"/>
        <w:jc w:val="start"/>
        <w:rPr/>
      </w:pPr>
      <w:r>
        <w:rPr/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2315" cy="8241665"/>
            <wp:effectExtent l="0" t="0" r="0" b="0"/>
            <wp:wrapSquare wrapText="largest"/>
            <wp:docPr id="3" name="Obraz3" descr="" title="Kopia zaświadczenia z izby projektanta Marcina Las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Marcina Laski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250" t="-177" r="-250" b="-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315" cy="8241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OŚWIADCZENIE PROJEKTANTA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>Na podstawie art. 34 ust. 3d pkt 3 oraz art. 34 ust. 3e Ustawy z dnia 7 lipca 1994 r. Prawo budowlane (Dz. U. z 2020 r. poz. 1333, 2127, 2320, z 2021 r. poz. 11, 234, 282, 784) oświadczam,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że niniejszy </w:t>
      </w:r>
      <w:r>
        <w:rPr>
          <w:rFonts w:cs="Arial" w:ascii="Arial" w:hAnsi="Arial"/>
          <w:b/>
          <w:bCs/>
          <w:sz w:val="24"/>
          <w:szCs w:val="24"/>
        </w:rPr>
        <w:t>projekt wykonawczy branży sanitarnej</w:t>
      </w:r>
      <w:r>
        <w:rPr>
          <w:rFonts w:cs="Arial" w:ascii="Arial" w:hAnsi="Arial"/>
          <w:sz w:val="24"/>
          <w:szCs w:val="24"/>
        </w:rPr>
        <w:t>,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wykonany na rzecz zamierzenia budowlanego: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Remont pomieszczeń dydaktycznych w budynku „B”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Zespołu Szkół Ponadpodstawowych Nr 2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Centrum Kształcenia Zawodowego im. T. Kościuszki w Łowiczu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i/>
          <w:i/>
          <w:iCs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 xml:space="preserve">w ramach projektu pod nazwą: 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/>
          <w:iCs/>
          <w:sz w:val="24"/>
          <w:szCs w:val="24"/>
        </w:rPr>
        <w:t>„</w:t>
      </w:r>
      <w:r>
        <w:rPr>
          <w:rFonts w:cs="Arial" w:ascii="Arial" w:hAnsi="Arial"/>
          <w:i/>
          <w:iCs/>
          <w:sz w:val="24"/>
          <w:szCs w:val="24"/>
        </w:rPr>
        <w:t>Modernizacja pracowni warsztatowych do potrzeb zdobycia kwalifikacji branżowych na nowoczesnym rynku pracy mechanizacji rolnictwa”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>Lokalizacja: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ul. Blich 10,  99-400 Łowicz,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dz. nr ewid. 1376/6, obręb: 0004 Korabka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tabs>
          <w:tab w:val="clear" w:pos="720"/>
          <w:tab w:val="left" w:pos="3114" w:leader="none"/>
        </w:tabs>
        <w:spacing w:lineRule="auto" w:line="240" w:before="0" w:after="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- został sporządzony zgodnie z obowiązującymi przepisami i zasadami wiedzy technicznej.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Osoby, o których mowa w art. 20 ust. 1 pkt 1a ustawy Prawo budowlane, biorące udział w opracowaniu projektu: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tbl>
      <w:tblPr>
        <w:tblW w:w="9074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72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Opracowanie:</w:t>
            </w:r>
          </w:p>
        </w:tc>
        <w:tc>
          <w:tcPr>
            <w:tcW w:w="2672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Podpis:</w:t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Projektant:</w:t>
            </w:r>
          </w:p>
          <w:p>
            <w:pPr>
              <w:pStyle w:val="Zawartotabeli"/>
              <w:spacing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MGR. INŻ. MARCIN LASKA</w:t>
            </w:r>
          </w:p>
          <w:p>
            <w:pPr>
              <w:pStyle w:val="Zawartotabeli"/>
              <w:spacing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upr. w spec. inst. sanitarnych nr LOD/1625/POOS/11</w:t>
            </w:r>
          </w:p>
        </w:tc>
        <w:tc>
          <w:tcPr>
            <w:tcW w:w="267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Współpraca - opracowanie:</w:t>
            </w:r>
          </w:p>
          <w:p>
            <w:pPr>
              <w:pStyle w:val="Zawartotabeli"/>
              <w:spacing w:lineRule="atLeast" w:line="200"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 INŻ. MICHAŁ WOJTYSIAK</w:t>
            </w:r>
          </w:p>
        </w:tc>
        <w:tc>
          <w:tcPr>
            <w:tcW w:w="267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073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sz w:val="22"/>
                <w:szCs w:val="22"/>
                <w:u w:val="none"/>
              </w:rPr>
            </w:pPr>
            <w:r>
              <w:rPr>
                <w:rFonts w:cs="Arial" w:ascii="Arial" w:hAnsi="Arial"/>
                <w:sz w:val="22"/>
                <w:szCs w:val="22"/>
                <w:u w:val="none"/>
              </w:rPr>
              <w:t>PAŹDZIERNIK 2025</w:t>
            </w:r>
          </w:p>
        </w:tc>
      </w:tr>
    </w:tbl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suppressAutoHyphens w:val="false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</w:rPr>
        <w:t>OPIS TECHNICZNY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contextualSpacing/>
        <w:rPr>
          <w:rFonts w:ascii="Arial" w:hAnsi="Arial" w:cs="Arial"/>
          <w:sz w:val="24"/>
          <w:szCs w:val="24"/>
        </w:rPr>
      </w:pPr>
      <w:r>
        <w:rPr>
          <w:u w:val="none"/>
        </w:rPr>
        <w:t>1.</w:t>
        <w:tab/>
        <w:t>Przedmiot opracowania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Przedmiotem opracowania jest projekt wykonawczy na wykonanie całkowitej wymiany instalacji centralnego ogrzewania w pomieszczeniu sali gimnastycznej oraz wymiany poziomów c.o. w części zaplecza i w budynku łącznika, a także poprawy działania wentylacji pomieszczenia sali gimnastycznej w budynku „B” ZSP nr 2 w Łowiczu. Prace odbywać się będą w ramach inwestycji pn. Remont pomieszczeń dydaktycznych w budynkach „B” i „C” Zespołu Szkół Ponadpodstawowych Nr 2 Centrum Kształcenia Zawodowego im. Tadeusza Kościuszki w Łowiczu.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Dokumentacja dotycząca budynku „C” stanowi odrębne opracowanie.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</w:r>
      <w:r>
        <w:rPr>
          <w:rFonts w:cs="Arial" w:ascii="Arial" w:hAnsi="Arial"/>
          <w:sz w:val="24"/>
          <w:szCs w:val="24"/>
          <w:u w:val="single"/>
        </w:rPr>
        <w:t>Lokalizacja inwestycji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Budynek „B” Zespołu Szkół Ponadpodstawowych Nr 2 Centrum Kształcenia Zawodowego im. Tadeusza Kościuszki w Łowiczu znajduje się przy ul. Blich 10, 99-400 Łowicz, dz. nr ewid. 1376/6, obręb: 0004 Korabka.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contextualSpacing/>
        <w:rPr>
          <w:rFonts w:ascii="Arial" w:hAnsi="Arial" w:eastAsia="Times New Roman" w:cs="Arial"/>
          <w:color w:val="000000"/>
          <w:lang w:eastAsia="pl-PL"/>
        </w:rPr>
      </w:pPr>
      <w:r>
        <w:rPr>
          <w:u w:val="none"/>
        </w:rPr>
        <w:t>2.</w:t>
        <w:tab/>
        <w:t>Podstawa opracowania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umowa oraz ustalenia z Inwestorem i administracją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dostępne dane archiwalne z zasobu zarządcy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inwentaryzacja i wizja lokalna prowadzona w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pomiary prowadzone w budynku i na terenie posesji;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projekt architektoniczny remontowanych pomieszczeń;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DTR i katalogi projektowanych urządzeń;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normy i rozporządzenia dot. projektowanych instalacji.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contextualSpacing/>
        <w:rPr>
          <w:rFonts w:ascii="Arial" w:hAnsi="Arial" w:cs="Arial"/>
          <w:b w:val="false"/>
          <w:bCs w:val="false"/>
          <w:color w:val="000000"/>
          <w:sz w:val="24"/>
          <w:szCs w:val="24"/>
        </w:rPr>
      </w:pPr>
      <w:r>
        <w:rPr>
          <w:u w:val="none"/>
        </w:rPr>
        <w:t>3.</w:t>
        <w:tab/>
        <w:t>Zakres opracowania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</w:rPr>
        <w:tab/>
        <w:t>Niniejsze opracowanie obejmuje modernizację i remont instalacji centralnego ogrzewania sali gimnastycznej w budynku B obiektu w następującym zakresie: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demontaż istniejących grzejników stalowych płytowych w sali gimn. – 9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demontaż armatury grzejnikowej odcinającej na sali gimnast. – 9 kpl.;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demontaż istniejącej instalacji c.o. z rur stalowych na sali gimn. wraz z poziomami przebiegającymi w kanale technologicznym;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demontaż istniejących poziomów instalacji c.o. z rur stalowych przebiegających w kanale techolog. od rozdzielacza obiegów grzewczych w piwnicy do pomieszczenia sali gimnastycznej oprócz części zaplecza od północno-wschodniej strony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montaż nowych grzejników stalowych płytowych na sali gimnast. – 9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montaż nowej armatury grzejnikowej odcinająco-regulacyjnej – 9 kpl.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montaż nowej instalacji c.o. (poziomy) z rur i kształtek PP-R wraz z niezbędną armaturą regulacyjno-odcinającą i spustową od rozdzielacza w piwnicy poprzez całą długość kanału technologicznego do sali gimnastycznej oprócz części instalacji biegnącej przy północno-wschodniej ścianie budynku zaplecza sali oraz całej instalacji na sali gimnastycznej (poziomy prowadzone w warstwach izolacji cieplnej nowo projektowanej posadzki);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>montaż nawiewników okiennych montowanych w ramie istniejących okien w celu poprawy skuteczności wentylacji pomieszczenia sali – 10 szt;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>udrożnienie i oczyszczenie wywietrzaków dachowych – 3 szt.</w:t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contextualSpacing/>
        <w:rPr>
          <w:u w:val="none"/>
        </w:rPr>
      </w:pPr>
      <w:r>
        <w:rPr>
          <w:u w:val="none"/>
        </w:rPr>
        <w:t>4.</w:t>
        <w:tab/>
        <w:t>Dane obliczeniowe dot. instalacji c.o.</w:t>
      </w:r>
    </w:p>
    <w:p>
      <w:pPr>
        <w:pStyle w:val="Normal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end="0"/>
        <w:jc w:val="start"/>
        <w:rPr>
          <w:rFonts w:ascii="Arial" w:hAnsi="Arial" w:cs="Arial"/>
          <w:sz w:val="12"/>
          <w:szCs w:val="12"/>
        </w:rPr>
      </w:pPr>
      <w:r>
        <w:rPr>
          <w:rFonts w:cs="Arial" w:ascii="Arial" w:hAnsi="Arial"/>
          <w:sz w:val="24"/>
          <w:szCs w:val="24"/>
        </w:rPr>
        <w:tab/>
        <w:tab/>
        <w:t>Do obliczeń straty ciepła przyjęto temperaturę zewnętrzną dla III strefy klimatycznej t</w:t>
      </w:r>
      <w:r>
        <w:rPr>
          <w:rFonts w:cs="Arial" w:ascii="Arial" w:hAnsi="Arial"/>
          <w:sz w:val="24"/>
          <w:szCs w:val="24"/>
          <w:vertAlign w:val="subscript"/>
        </w:rPr>
        <w:t>z</w:t>
      </w:r>
      <w:r>
        <w:rPr>
          <w:rFonts w:cs="Arial" w:ascii="Arial" w:hAnsi="Arial"/>
          <w:sz w:val="24"/>
          <w:szCs w:val="24"/>
        </w:rPr>
        <w:t>= -20°C zgodnie z PN-82/B-02403 lub normy równoważnej. Projektowane obciążenia cieplne dla pomieszczeń obliczono wg PN-EN 12831 lub normy równoważnej. Na podstawie obliczeń cieplnych i hydraulicznych przyjęto następujące parametry:</w:t>
      </w:r>
    </w:p>
    <w:p>
      <w:pPr>
        <w:pStyle w:val="Normal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end="0"/>
        <w:jc w:val="start"/>
        <w:rPr>
          <w:rFonts w:ascii="Arial" w:hAnsi="Arial" w:cs="Arial"/>
          <w:sz w:val="12"/>
          <w:szCs w:val="12"/>
        </w:rPr>
      </w:pPr>
      <w:r>
        <w:rPr>
          <w:rFonts w:cs="Arial" w:ascii="Arial" w:hAnsi="Arial"/>
          <w:sz w:val="12"/>
          <w:szCs w:val="12"/>
        </w:rPr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76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temp. czynnika grzewczego w bud. „B” :</w:t>
        <w:tab/>
        <w:t>70/55 °C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76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strata ciepła w sali gimnastycznej :</w:t>
        <w:tab/>
        <w:tab/>
        <w:t>36,9 kW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76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strata ciepła dla sali wraz z zapleczem :</w:t>
        <w:tab/>
        <w:t>80,5 kW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76" w:before="0" w:after="0"/>
        <w:ind w:hanging="0" w:start="720" w:end="0"/>
        <w:jc w:val="start"/>
        <w:rPr>
          <w:rFonts w:ascii="Arial" w:hAnsi="Arial" w:cs="Arial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sz w:val="24"/>
          <w:szCs w:val="24"/>
        </w:rPr>
        <w:t>Przepływ obliczeniowy instalacji c.o. :</w:t>
        <w:tab/>
        <w:tab/>
        <w:tab/>
        <w:t>4,72 m</w:t>
      </w:r>
      <w:r>
        <w:rPr>
          <w:rFonts w:cs="Arial" w:ascii="Arial" w:hAnsi="Arial"/>
          <w:sz w:val="24"/>
          <w:szCs w:val="24"/>
          <w:vertAlign w:val="superscript"/>
        </w:rPr>
        <w:t>3</w:t>
      </w:r>
      <w:r>
        <w:rPr>
          <w:rFonts w:cs="Arial" w:ascii="Arial" w:hAnsi="Arial"/>
          <w:position w:val="0"/>
          <w:sz w:val="24"/>
          <w:sz w:val="24"/>
          <w:szCs w:val="24"/>
          <w:vertAlign w:val="baseline"/>
        </w:rPr>
        <w:t>/h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76" w:before="0" w:after="0"/>
        <w:ind w:hanging="0" w:start="720" w:end="0"/>
        <w:jc w:val="start"/>
        <w:rPr>
          <w:rFonts w:ascii="Arial" w:hAnsi="Arial" w:cs="Arial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position w:val="0"/>
          <w:sz w:val="24"/>
          <w:sz w:val="24"/>
          <w:szCs w:val="24"/>
          <w:vertAlign w:val="baseline"/>
        </w:rPr>
        <w:t>Projekt. strata ciśn. w instalacji c.o. :</w:t>
        <w:tab/>
        <w:tab/>
        <w:tab/>
        <w:t>31,7 kPa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76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position w:val="0"/>
          <w:sz w:val="24"/>
          <w:sz w:val="24"/>
          <w:szCs w:val="24"/>
          <w:vertAlign w:val="baseline"/>
        </w:rPr>
        <w:t>Sumaryczna pojemność wodna istalacji :</w:t>
        <w:tab/>
        <w:tab/>
        <w:t>891 dm</w:t>
      </w:r>
      <w:r>
        <w:rPr>
          <w:rFonts w:cs="Arial" w:ascii="Arial" w:hAnsi="Arial"/>
          <w:sz w:val="24"/>
          <w:szCs w:val="24"/>
          <w:vertAlign w:val="superscript"/>
        </w:rPr>
        <w:t>3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pacing w:lineRule="auto" w:line="360" w:before="0" w:after="0"/>
        <w:ind w:hanging="0" w:start="720" w:end="0"/>
        <w:jc w:val="start"/>
        <w:rPr>
          <w:rFonts w:ascii="Arial" w:hAnsi="Arial" w:cs="Arial"/>
          <w:b/>
          <w:bCs/>
          <w:i/>
          <w:i/>
          <w:iCs/>
          <w:sz w:val="20"/>
        </w:rPr>
      </w:pPr>
      <w:r>
        <w:rPr>
          <w:rFonts w:cs="Arial" w:ascii="Arial" w:hAnsi="Arial"/>
          <w:sz w:val="24"/>
          <w:szCs w:val="24"/>
        </w:rPr>
        <w:t>Projekt. współczynniki przenikania ciepła dla przegród:</w:t>
      </w:r>
    </w:p>
    <w:tbl>
      <w:tblPr>
        <w:tblW w:w="6690" w:type="dxa"/>
        <w:jc w:val="start"/>
        <w:tblInd w:w="562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4080"/>
        <w:gridCol w:w="2609"/>
      </w:tblGrid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b/>
                <w:bCs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b/>
                <w:bCs/>
                <w:i/>
                <w:iCs/>
                <w:sz w:val="20"/>
              </w:rPr>
              <w:t>Nazwa przegrody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/>
            </w:pPr>
            <w:r>
              <w:rPr>
                <w:rFonts w:cs="Arial" w:ascii="Arial" w:hAnsi="Arial"/>
                <w:b/>
                <w:bCs/>
                <w:i/>
                <w:iCs/>
                <w:sz w:val="20"/>
              </w:rPr>
              <w:t xml:space="preserve">U </w:t>
            </w:r>
            <w:r>
              <w:rPr>
                <w:rFonts w:cs="Arial" w:ascii="Arial" w:hAnsi="Arial"/>
                <w:b/>
                <w:i/>
                <w:iCs/>
                <w:sz w:val="20"/>
              </w:rPr>
              <w:t>[W/(m2×K)]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Podłoga na gruncie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0,28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Ściana przy gruncie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0,27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Ściana zewnętrzna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0,21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Stropodach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0,25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Stolarka okienna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1,60</w:t>
            </w:r>
          </w:p>
        </w:tc>
      </w:tr>
    </w:tbl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contextualSpacing/>
        <w:rPr>
          <w:u w:val="none"/>
        </w:rPr>
      </w:pPr>
      <w:r>
        <w:rPr>
          <w:u w:val="none"/>
        </w:rPr>
        <w:t>5.  Opis rozwiązań projektowych</w:t>
      </w:r>
    </w:p>
    <w:p>
      <w:pPr>
        <w:pStyle w:val="ListParagraph"/>
        <w:tabs>
          <w:tab w:val="clear" w:pos="720"/>
          <w:tab w:val="left" w:pos="450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Na czas prac modernizacyjnych i remontowych należy spuścić wodę ze zładu instalacji c.o. zaopatrującej tą część budynku „B” i zdemontować istniejące grzejniki stalowe płytowe w ilości 9 szt. zlokalizowane na ścianie wschodniej pomieszczenia sali gimnastycznej. Gałązki grzejnikowe wraz z armaturą odcinająco-regulacyjną oraz odpowietrzającą – przeznaczono do całkowitego demontażu. Podobnie rurociągi pionowe na sali gimnastycznej oraz poziomy przebiegające w kanale technologicznym należy zdemontować po otwarciu kanału, który w obrębie sali gimnastycznej będzie zlikwidowany. Poziomy instalacji c.o. wykonane z rur stalowych zasilające budynek sali gimnastycznej wraz z zapleczem i łącznikiem przebiegające w kanale techlolog., oprócz instalacji w części zaplecza od północno-wschodniej strony budynku, należy w całości zdemontować na odcinku od rozdzielacza obiegów grzewczych w części piwnicznej do końca kanału dochodzącego do sali gimnastycznej (dalsza część kanału – do likwidacji). Armatura odcinająca w pomieszczeniu rozdzielaczy (zawory kołnierzowe DN65) również zakwalifikowana jest do całkowitej wymiany.</w:t>
      </w:r>
    </w:p>
    <w:p>
      <w:pPr>
        <w:pStyle w:val="ListParagraph"/>
        <w:tabs>
          <w:tab w:val="clear" w:pos="720"/>
          <w:tab w:val="left" w:pos="450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12"/>
          <w:szCs w:val="12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Do rurociągów podlegających wymianie przyłączone są piony instalacji c.o. obsługujące grzejniki w pomieszczeniach zaplecza i łącznika. Podczas montażu nowej instalacji należy je włączyć do rurociągów poziomych stosując złączki przejściowe w technologii projektowanej instalacji oraz zawory odcinające kulowe PN20 o średnicach rur zastosowanych w pionach. Na pionach powrotnych montować zawory z kurkiem spustowym.</w:t>
      </w:r>
    </w:p>
    <w:p>
      <w:pPr>
        <w:pStyle w:val="ListParagraph"/>
        <w:tabs>
          <w:tab w:val="clear" w:pos="720"/>
          <w:tab w:val="left" w:pos="450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12"/>
          <w:szCs w:val="12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12"/>
          <w:szCs w:val="12"/>
          <w:u w:val="none"/>
          <w:lang w:eastAsia="pl-PL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contextualSpacing/>
        <w:rPr>
          <w:rFonts w:ascii="Arial" w:hAnsi="Arial" w:cs="Arial"/>
          <w:i/>
          <w:i/>
          <w:sz w:val="24"/>
          <w:szCs w:val="24"/>
        </w:rPr>
      </w:pPr>
      <w:r>
        <w:rPr>
          <w:u w:val="none"/>
        </w:rPr>
        <w:t>5.1.</w:t>
        <w:tab/>
        <w:t>Przewody instalacji c.o.</w:t>
      </w:r>
    </w:p>
    <w:p>
      <w:pPr>
        <w:pStyle w:val="Tekstpodstawowy2"/>
        <w:tabs>
          <w:tab w:val="clear" w:pos="720"/>
          <w:tab w:val="left" w:pos="450" w:leader="none"/>
        </w:tabs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 xml:space="preserve">Instalację wewnętrzną zaprojektowano z rur zespolonych typu Stabi-Glass o parametrach PN20 SDR7,4 lub równoważnych wykonanych z polipropylenu stabilizowanego włóknem szklanym łączonych poprzez zgrzewanie polifuzyjne. </w:t>
        <w:tab/>
        <w:t>Charakteryzują się one wysoką odpornością chemiczną i na zarastanie kamieniem, brakiem zagrożenia korozją, małą przewodnością cieplną, eliminacją hałasów przepływu i drgania oraz odporność na temp. max. wody do 90°C. Posiadają jeden rodzaj złączek dla wszystkich typów rur, wykonanych z polipropylenu (PP-R) o wysokiej stabilności cieplnej. System posiada atesty higieniczne i aprobatę PZH.</w:t>
      </w:r>
    </w:p>
    <w:p>
      <w:pPr>
        <w:pStyle w:val="Tekstpodstawowy2"/>
        <w:tabs>
          <w:tab w:val="clear" w:pos="720"/>
          <w:tab w:val="left" w:pos="426" w:leader="none"/>
        </w:tabs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Rury należy prowadzić w kanale technologicznym od rozdzielacza zlokalizowane- </w:t>
      </w:r>
      <w:r>
        <w:rPr>
          <w:rFonts w:cs="Arial" w:ascii="Arial" w:hAnsi="Arial"/>
          <w:strike w:val="false"/>
          <w:dstrike w:val="false"/>
          <w:sz w:val="24"/>
          <w:szCs w:val="24"/>
        </w:rPr>
        <w:t>go w pomieszczeniu węzła - jak pokazano na rysunku, następnie w sali gimnastycz- -</w:t>
      </w:r>
      <w:r>
        <w:rPr>
          <w:rFonts w:cs="Arial" w:ascii="Arial" w:hAnsi="Arial"/>
          <w:sz w:val="24"/>
          <w:szCs w:val="24"/>
        </w:rPr>
        <w:t xml:space="preserve">nej poziomy i </w:t>
      </w:r>
      <w:r>
        <w:rPr>
          <w:rFonts w:cs="Arial" w:ascii="Arial" w:hAnsi="Arial"/>
          <w:i w:val="false"/>
          <w:sz w:val="24"/>
          <w:szCs w:val="24"/>
        </w:rPr>
        <w:t>podejścia do grzejników prowadzić w warstwie styropianu posadzki</w:t>
      </w:r>
      <w:r>
        <w:rPr>
          <w:rFonts w:cs="Arial" w:ascii="Arial" w:hAnsi="Arial"/>
          <w:sz w:val="24"/>
          <w:szCs w:val="24"/>
        </w:rPr>
        <w:t>.</w:t>
      </w:r>
    </w:p>
    <w:p>
      <w:pPr>
        <w:pStyle w:val="Tekstpodstawowy2"/>
        <w:tabs>
          <w:tab w:val="clear" w:pos="720"/>
          <w:tab w:val="left" w:pos="426" w:leader="none"/>
        </w:tabs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Przewód zasilający pionu 2-rurowego należy prowadzić z prawej strony, powrotny zaś z lewej.</w:t>
      </w:r>
    </w:p>
    <w:p>
      <w:pPr>
        <w:pStyle w:val="Tekstpodstawowy2"/>
        <w:tabs>
          <w:tab w:val="clear" w:pos="720"/>
          <w:tab w:val="left" w:pos="426" w:leader="none"/>
        </w:tabs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Wszystkie przejścia przewodów przez przegrody budowlane (ściany, stropy) wykonuje się w tulejach ochronnych, wykonanych z cienkościennych rur z tworzywa np. PVC, umożliwiających swobodne przemieszczanie przewodu w przegrodzie. W obszarze tulei nie może być wykonane żadne połączenie na przewodzie.</w:t>
      </w:r>
    </w:p>
    <w:p>
      <w:pPr>
        <w:pStyle w:val="Tekstpodstawowy2"/>
        <w:tabs>
          <w:tab w:val="clear" w:pos="720"/>
          <w:tab w:val="left" w:pos="426" w:leader="none"/>
        </w:tabs>
        <w:spacing w:lineRule="auto" w:line="24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cs="Arial" w:ascii="Arial" w:hAnsi="Arial"/>
          <w:sz w:val="24"/>
          <w:szCs w:val="24"/>
        </w:rPr>
        <w:tab/>
        <w:t>Przewody poziome należy kompensować wykorzystując naturalne zmiany kierunków. Przy zbyt długich odcinkach należy stosować kompensację typu „U”, a jeżeli jest możliwość takiego prowadzenia rurociągów - „L” lub „Z”.</w:t>
      </w:r>
    </w:p>
    <w:p>
      <w:pPr>
        <w:pStyle w:val="Normal"/>
        <w:tabs>
          <w:tab w:val="clear" w:pos="720"/>
          <w:tab w:val="left" w:pos="450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Symbol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ab/>
        <w:t>Do mocowania przewodów w kanale technologicznym stosować szyny montażowe stalowe ocynkowane i obejmy do rurociągów oraz typowe haki i uchwyty do przytwierdzenia rur w posadzce. Odległości podpór stosować wg wytycznych producenta dla projektowanej technologii. I tak np. dla rur Stabi-Glass SDR7,4 o średnicy:</w:t>
      </w:r>
    </w:p>
    <w:p>
      <w:pPr>
        <w:pStyle w:val="Normal"/>
        <w:tabs>
          <w:tab w:val="clear" w:pos="720"/>
          <w:tab w:val="left" w:pos="450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color w:val="000000"/>
          <w:sz w:val="12"/>
          <w:szCs w:val="12"/>
          <w:u w:val="none"/>
          <w:lang w:eastAsia="pl-PL"/>
        </w:rPr>
      </w:pPr>
      <w:r>
        <w:rPr>
          <w:rFonts w:eastAsia="Symbol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Ø20mm – 120cm; Ø25mm – 140cm; Ø32mm – 160cm; Ø40mm – 180cm; Ø50mm – 205cm; Ø63mm – 230cm; Ø75mm – 245cm.</w:t>
      </w:r>
    </w:p>
    <w:p>
      <w:pPr>
        <w:pStyle w:val="Normal"/>
        <w:tabs>
          <w:tab w:val="clear" w:pos="720"/>
          <w:tab w:val="left" w:pos="450" w:leader="none"/>
        </w:tabs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eastAsia="Times New Roman" w:cs="Arial"/>
          <w:b w:val="false"/>
          <w:bCs w:val="false"/>
          <w:color w:val="000000"/>
          <w:sz w:val="12"/>
          <w:szCs w:val="12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12"/>
          <w:szCs w:val="12"/>
          <w:u w:val="none"/>
          <w:lang w:eastAsia="pl-PL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contextualSpacing/>
        <w:rPr>
          <w:u w:val="none"/>
        </w:rPr>
      </w:pPr>
      <w:r>
        <w:rPr>
          <w:u w:val="none"/>
        </w:rPr>
        <w:t>5.2. Odbiorniki ciepła</w:t>
      </w:r>
    </w:p>
    <w:p>
      <w:pPr>
        <w:pStyle w:val="Normal"/>
        <w:tabs>
          <w:tab w:val="clear" w:pos="720"/>
          <w:tab w:val="left" w:pos="450" w:leader="none"/>
        </w:tabs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Jako elementy grzejne instalacji c.o. w sali gimnastycznej projektuje się grzejniki stalowe płytowe typu typu 33VM-600/2200 - z podejściem dolnym środkowym. Grzejniki z podejściem dolnym wyposażone są we wkładkę zaworową z nastawą wstępną, na którą należy zamontować głowicę termostatyczną do regulacji temp. wewnętrznej - 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ustawienia żądanej temperatury pomieszczenia w zakresie 8 – 28ºC.</w:t>
      </w:r>
    </w:p>
    <w:p>
      <w:pPr>
        <w:pStyle w:val="Normal"/>
        <w:tabs>
          <w:tab w:val="clear" w:pos="720"/>
          <w:tab w:val="left" w:pos="450" w:leader="none"/>
        </w:tabs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Na podejściu dolnym do grzejnika zamontować zestaw przyłączeniowy prosty lub kątowy w zależności od możliwości montażowych.</w:t>
      </w:r>
    </w:p>
    <w:p>
      <w:pPr>
        <w:pStyle w:val="Normal"/>
        <w:tabs>
          <w:tab w:val="clear" w:pos="720"/>
          <w:tab w:val="left" w:pos="450" w:leader="none"/>
        </w:tabs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Grzejniki zasilane będą z podejść rur PP-R o średnicy </w:t>
      </w:r>
      <w:r>
        <w:rPr>
          <w:rFonts w:eastAsia="Symbol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Ø25 prowadzonych w posadzce</w:t>
      </w:r>
      <w:r>
        <w:rPr>
          <w:rFonts w:cs="Arial" w:ascii="Arial" w:hAnsi="Arial"/>
          <w:sz w:val="24"/>
          <w:szCs w:val="24"/>
        </w:rPr>
        <w:t>. Monta</w:t>
      </w:r>
      <w:r>
        <w:rPr>
          <w:rFonts w:eastAsia="TimesNewRoman" w:cs="Arial" w:ascii="Arial" w:hAnsi="Arial"/>
          <w:sz w:val="24"/>
          <w:szCs w:val="24"/>
        </w:rPr>
        <w:t xml:space="preserve">ż </w:t>
      </w:r>
      <w:r>
        <w:rPr>
          <w:rFonts w:cs="Arial" w:ascii="Arial" w:hAnsi="Arial"/>
          <w:sz w:val="24"/>
          <w:szCs w:val="24"/>
        </w:rPr>
        <w:t>grzejników wykona</w:t>
      </w:r>
      <w:r>
        <w:rPr>
          <w:rFonts w:eastAsia="TimesNewRoman" w:cs="Arial" w:ascii="Arial" w:hAnsi="Arial"/>
          <w:sz w:val="24"/>
          <w:szCs w:val="24"/>
        </w:rPr>
        <w:t xml:space="preserve">ć </w:t>
      </w:r>
      <w:r>
        <w:rPr>
          <w:rFonts w:cs="Arial" w:ascii="Arial" w:hAnsi="Arial"/>
          <w:sz w:val="24"/>
          <w:szCs w:val="24"/>
        </w:rPr>
        <w:t>wg zalece</w:t>
      </w:r>
      <w:r>
        <w:rPr>
          <w:rFonts w:eastAsia="TimesNewRoman" w:cs="Arial" w:ascii="Arial" w:hAnsi="Arial"/>
          <w:sz w:val="24"/>
          <w:szCs w:val="24"/>
        </w:rPr>
        <w:t xml:space="preserve">ń </w:t>
      </w:r>
      <w:r>
        <w:rPr>
          <w:rFonts w:cs="Arial" w:ascii="Arial" w:hAnsi="Arial"/>
          <w:sz w:val="24"/>
          <w:szCs w:val="24"/>
        </w:rPr>
        <w:t>producenta na wysoko</w:t>
      </w:r>
      <w:r>
        <w:rPr>
          <w:rFonts w:eastAsia="TimesNewRoman" w:cs="Arial" w:ascii="Arial" w:hAnsi="Arial"/>
          <w:sz w:val="24"/>
          <w:szCs w:val="24"/>
        </w:rPr>
        <w:t>ś</w:t>
      </w:r>
      <w:r>
        <w:rPr>
          <w:rFonts w:cs="Arial" w:ascii="Arial" w:hAnsi="Arial"/>
          <w:sz w:val="24"/>
          <w:szCs w:val="24"/>
        </w:rPr>
        <w:t>ci ok. 15cm nad posadzk</w:t>
      </w:r>
      <w:r>
        <w:rPr>
          <w:rFonts w:eastAsia="TimesNewRoman" w:cs="Arial" w:ascii="Arial" w:hAnsi="Arial"/>
          <w:sz w:val="24"/>
          <w:szCs w:val="24"/>
        </w:rPr>
        <w:t>ą i 10cm pod parapetem</w:t>
      </w:r>
      <w:r>
        <w:rPr>
          <w:rFonts w:cs="Arial" w:ascii="Arial" w:hAnsi="Arial"/>
          <w:sz w:val="24"/>
          <w:szCs w:val="24"/>
        </w:rPr>
        <w:t xml:space="preserve"> w płaszczyźnie równoległej do przegrody.</w:t>
      </w:r>
    </w:p>
    <w:p>
      <w:pPr>
        <w:pStyle w:val="Normal"/>
        <w:tabs>
          <w:tab w:val="clear" w:pos="720"/>
          <w:tab w:val="left" w:pos="450" w:leader="none"/>
        </w:tabs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cs="Arial" w:ascii="Arial" w:hAnsi="Arial"/>
          <w:sz w:val="24"/>
          <w:szCs w:val="24"/>
        </w:rPr>
        <w:tab/>
        <w:t>Grzejniki zamontować tak aby zapewnić dostęp do odpowietrznika i umożliwić spust wody z podłączenia dolnego.</w:t>
      </w:r>
    </w:p>
    <w:p>
      <w:pPr>
        <w:pStyle w:val="Normal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color w:val="000000"/>
          <w:sz w:val="12"/>
          <w:szCs w:val="12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Regulacja ilości czynnika grzejnego dopływającego do każdego z grzejników dokonana zostanie poprzez ustawienie nastaw wstępnych w zaworach grzejnikowych wg części rysunkowej.</w:t>
      </w:r>
    </w:p>
    <w:p>
      <w:pPr>
        <w:pStyle w:val="Normal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76" w:before="0" w:after="0"/>
        <w:ind w:end="0"/>
        <w:jc w:val="both"/>
        <w:rPr>
          <w:rFonts w:ascii="Arial" w:hAnsi="Arial" w:eastAsia="Times New Roman" w:cs="Arial"/>
          <w:b w:val="false"/>
          <w:bCs w:val="false"/>
          <w:color w:val="000000"/>
          <w:sz w:val="12"/>
          <w:szCs w:val="12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12"/>
          <w:szCs w:val="12"/>
          <w:u w:val="none"/>
          <w:lang w:eastAsia="pl-PL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contextualSpacing/>
        <w:rPr>
          <w:rFonts w:ascii="Arial" w:hAnsi="Arial" w:cs="Arial"/>
          <w:i w:val="false"/>
          <w:i w:val="false"/>
          <w:szCs w:val="24"/>
        </w:rPr>
      </w:pPr>
      <w:r>
        <w:rPr>
          <w:u w:val="none"/>
        </w:rPr>
        <w:t>5.3. Armatura odcinająca i regulacyjna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ab/>
        <w:t>Prace montażowe należy prowadzić po opróżnieniu wody ze zładu instalacji c.o. Połączenia armatury wykonać za pomocą złączek gwintowanych z uszczelnieniem na gwincie zgodnie z wymaganiami normy PN-ISO 7-1:1995 lub normy równoważnej. Gwint może być wykonany w materiale rodzimym elementu łączonego albo z innego materiału w postaci pierścieniowej wkładki, stanowiącej integralną część łączonego elementu.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 w:val="24"/>
          <w:szCs w:val="24"/>
        </w:rPr>
      </w:pPr>
      <w:r>
        <w:rPr>
          <w:rFonts w:cs="Arial" w:ascii="Arial" w:hAnsi="Arial"/>
          <w:i w:val="false"/>
          <w:szCs w:val="24"/>
        </w:rPr>
        <w:t>Armaturę odcinającą i regulacyjną należy montować zgodnie z „Warunkami Technicznymi Wykonania i Odbioru Instalacji Ogrzewczych” wydanymi przez COBRTI INSTAL w 2003 r. (zeszyt nr 6) oraz zgodnie z DTR urządzeń wydaną przez producenta.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 w:val="24"/>
          <w:szCs w:val="24"/>
        </w:rPr>
      </w:pPr>
      <w:r>
        <w:rPr>
          <w:rFonts w:cs="Arial" w:ascii="Arial" w:hAnsi="Arial"/>
          <w:i w:val="false"/>
          <w:sz w:val="24"/>
          <w:szCs w:val="24"/>
        </w:rPr>
        <w:tab/>
        <w:t xml:space="preserve">Zaprojektowano zawory odcinające kulowe na ciśn. min. 2,0MPa (PN20). W pomieszczeniu węzła c.o. na wyjściu z kolektora zasilającego należy zastosować zawór kołnierzowy o średnicy DN65, zaś z kolektora powrotnego zawór kołnierzowy równoważący DN65 z nastawą </w:t>
      </w:r>
      <w:r>
        <w:rPr>
          <w:rFonts w:cs="Arial" w:ascii="Arial" w:hAnsi="Arial"/>
          <w:i w:val="false"/>
          <w:sz w:val="24"/>
          <w:szCs w:val="24"/>
        </w:rPr>
        <w:t xml:space="preserve">ręczną </w:t>
      </w:r>
      <w:r>
        <w:rPr>
          <w:rFonts w:cs="Arial" w:ascii="Arial" w:hAnsi="Arial"/>
          <w:i w:val="false"/>
          <w:sz w:val="24"/>
          <w:szCs w:val="24"/>
        </w:rPr>
        <w:t>wg rys. nr S-03.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 w:val="24"/>
          <w:szCs w:val="24"/>
        </w:rPr>
      </w:pPr>
      <w:r>
        <w:rPr>
          <w:rFonts w:cs="Arial" w:ascii="Arial" w:hAnsi="Arial"/>
          <w:i w:val="false"/>
          <w:sz w:val="24"/>
          <w:szCs w:val="24"/>
        </w:rPr>
        <w:tab/>
        <w:t>Za zaworami głównymi w najniższym punkcie instalacji zamontować zawory spustowe DN20 ze złączką do węża tak aby umożliwić zrzut wody z całego obiegu.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 w:val="12"/>
          <w:szCs w:val="12"/>
        </w:rPr>
      </w:pPr>
      <w:r>
        <w:rPr>
          <w:rFonts w:cs="Arial" w:ascii="Arial" w:hAnsi="Arial"/>
          <w:i w:val="false"/>
          <w:sz w:val="24"/>
          <w:szCs w:val="24"/>
        </w:rPr>
        <w:tab/>
        <w:t>W dalszej części instalacji należy zamontować zawory mufowe DN32 (dla odgałęzienia instalacji północno-wschodniej części zaplecza sali gimnastycznej) oraz zawory DN50 na odgałęzieniu do pozostałej części zaplecza oraz przed samą salą gimnastyczną. Za zaworami odcinającymi zamontować zawory spustowe DN15.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 w:val="12"/>
          <w:szCs w:val="12"/>
        </w:rPr>
      </w:pPr>
      <w:r>
        <w:rPr>
          <w:rFonts w:cs="Arial" w:ascii="Arial" w:hAnsi="Arial"/>
          <w:i w:val="false"/>
          <w:sz w:val="12"/>
          <w:szCs w:val="12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contextualSpacing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u w:val="none"/>
        </w:rPr>
        <w:t>5.4. Izolacja termiczna przewodów c.o.</w:t>
      </w:r>
    </w:p>
    <w:p>
      <w:pPr>
        <w:pStyle w:val="Normal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Przewody instalacji centralnego ogrzewania należy zaizolować  zgodnie z Rozporządzeniem Ministra Infrastruktury w sprawie warunków technicznych jakim powinny odpowiadać budynki i ich usytuowanie.</w:t>
      </w:r>
    </w:p>
    <w:p>
      <w:pPr>
        <w:pStyle w:val="Normal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Przewody instalacji c.o. należy zaizolować sztywną pianką poliuretanową półsztywną w płaszczu ochronnym o grubości:</w:t>
      </w:r>
    </w:p>
    <w:p>
      <w:pPr>
        <w:pStyle w:val="Normal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- przewody o średnicy zewnętrznej od Ø20 do Ø40 mm</w:t>
        <w:tab/>
        <w:t>-</w:t>
        <w:tab/>
        <w:t>19-21mm;</w:t>
      </w:r>
    </w:p>
    <w:p>
      <w:pPr>
        <w:pStyle w:val="Normal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- przewody o średnicy zewnętrznej Ø50mm</w:t>
        <w:tab/>
        <w:tab/>
        <w:tab/>
        <w:t>-</w:t>
        <w:tab/>
        <w:t>24-25mm;</w:t>
      </w:r>
    </w:p>
    <w:p>
      <w:pPr>
        <w:pStyle w:val="Normal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- przewody o średnicy zewnętrznej Ø63mm</w:t>
        <w:tab/>
        <w:tab/>
        <w:tab/>
        <w:t>-</w:t>
        <w:tab/>
        <w:t>27-28mm;</w:t>
      </w:r>
    </w:p>
    <w:p>
      <w:pPr>
        <w:pStyle w:val="Normal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- przewody o średnicy zewnętrznej Ø75mm</w:t>
        <w:tab/>
        <w:tab/>
        <w:tab/>
        <w:t>-</w:t>
        <w:tab/>
        <w:t>32-33mm.</w:t>
      </w:r>
    </w:p>
    <w:p>
      <w:pPr>
        <w:pStyle w:val="Normal"/>
        <w:spacing w:lineRule="auto" w:line="240" w:before="0" w:after="0"/>
        <w:ind w:end="0"/>
        <w:jc w:val="start"/>
        <w:rPr>
          <w:sz w:val="12"/>
          <w:szCs w:val="12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Wymagany współczynnik przewodności cieplnej: 0,035-0,036 W/mK.</w:t>
      </w:r>
    </w:p>
    <w:p>
      <w:pPr>
        <w:pStyle w:val="Normal"/>
        <w:spacing w:lineRule="auto" w:line="240" w:before="0" w:after="0"/>
        <w:ind w:end="0"/>
        <w:jc w:val="start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Heading2"/>
        <w:numPr>
          <w:ilvl w:val="1"/>
          <w:numId w:val="1"/>
        </w:numPr>
        <w:spacing w:before="114" w:after="114"/>
        <w:ind w:hanging="0" w:start="0"/>
        <w:contextualSpacing/>
        <w:rPr>
          <w:rFonts w:ascii="Arial" w:hAnsi="Arial" w:cs="Arial"/>
          <w:b/>
          <w:bCs/>
          <w:i w:val="false"/>
          <w:i w:val="false"/>
          <w:iCs/>
          <w:szCs w:val="24"/>
        </w:rPr>
      </w:pPr>
      <w:r>
        <w:rPr>
          <w:u w:val="none"/>
        </w:rPr>
        <w:t>5.5. Próby szczelności instalacji c.o.</w:t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contextualSpacing/>
        <w:rPr>
          <w:rFonts w:ascii="Arial" w:hAnsi="Arial" w:cs="Arial"/>
          <w:i w:val="false"/>
          <w:i w:val="false"/>
          <w:iCs/>
          <w:szCs w:val="24"/>
        </w:rPr>
      </w:pPr>
      <w:r>
        <w:rPr>
          <w:u w:val="none"/>
        </w:rPr>
        <w:t>5.5.1. Próby dla instalacji wykonanej z rur stalowych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cs="Arial" w:ascii="Arial" w:hAnsi="Arial"/>
          <w:i w:val="false"/>
          <w:iCs/>
          <w:szCs w:val="24"/>
        </w:rPr>
        <w:tab/>
        <w:t xml:space="preserve">Po </w:t>
      </w:r>
      <w:r>
        <w:rPr>
          <w:rFonts w:cs="Arial" w:ascii="Arial" w:hAnsi="Arial"/>
          <w:i w:val="false"/>
          <w:szCs w:val="24"/>
        </w:rPr>
        <w:t xml:space="preserve">zamontowaniu zaworów </w:t>
      </w:r>
      <w:r>
        <w:rPr>
          <w:rFonts w:cs="Arial" w:ascii="Arial" w:hAnsi="Arial"/>
          <w:i w:val="false"/>
          <w:iCs/>
          <w:szCs w:val="24"/>
        </w:rPr>
        <w:t>instalację należy przepłukać wodą, a następnie wykonać próbę szczelności na zimno na ciśnienie próbne o wartości 1,5</w:t>
      </w:r>
      <w:r>
        <w:rPr>
          <w:rFonts w:eastAsia="Symbol" w:cs="Arial" w:ascii="Arial" w:hAnsi="Arial"/>
          <w:i w:val="false"/>
          <w:iCs/>
          <w:szCs w:val="24"/>
        </w:rPr>
        <w:t>*</w:t>
      </w:r>
      <w:r>
        <w:rPr>
          <w:rFonts w:cs="Arial" w:ascii="Arial" w:hAnsi="Arial"/>
          <w:i w:val="false"/>
          <w:iCs/>
          <w:szCs w:val="24"/>
        </w:rPr>
        <w:t>p</w:t>
      </w:r>
      <w:r>
        <w:rPr>
          <w:rFonts w:cs="Arial" w:ascii="Arial" w:hAnsi="Arial"/>
          <w:i w:val="false"/>
          <w:iCs/>
          <w:position w:val="0"/>
          <w:sz w:val="16"/>
          <w:sz w:val="16"/>
          <w:szCs w:val="16"/>
          <w:vertAlign w:val="baseline"/>
        </w:rPr>
        <w:t>r</w:t>
      </w:r>
      <w:r>
        <w:rPr>
          <w:rFonts w:cs="Arial" w:ascii="Arial" w:hAnsi="Arial"/>
          <w:i w:val="false"/>
          <w:iCs/>
          <w:szCs w:val="24"/>
        </w:rPr>
        <w:t xml:space="preserve"> (ciśnienia roboczego). Instalację uważa się za szczelną, jeśli w ciągu 30 minut trwania próby manometr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color w:val="000000"/>
          <w:sz w:val="12"/>
          <w:szCs w:val="12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color w:val="000000"/>
          <w:sz w:val="12"/>
          <w:szCs w:val="12"/>
        </w:rPr>
      </w:pPr>
      <w:r>
        <w:rPr>
          <w:rFonts w:cs="Arial" w:ascii="Arial" w:hAnsi="Arial"/>
          <w:color w:val="000000"/>
          <w:sz w:val="12"/>
          <w:szCs w:val="12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contextualSpacing/>
        <w:rPr>
          <w:rFonts w:ascii="Arial" w:hAnsi="Arial" w:cs="Arial"/>
          <w:b w:val="false"/>
          <w:bCs w:val="false"/>
          <w:i w:val="false"/>
          <w:i w:val="false"/>
          <w:iCs/>
          <w:color w:val="000000"/>
          <w:sz w:val="24"/>
          <w:szCs w:val="24"/>
        </w:rPr>
      </w:pPr>
      <w:r>
        <w:rPr>
          <w:u w:val="none"/>
        </w:rPr>
        <w:t>5.5.2. Próby dla instalacji wykonanej z rur tworzywowych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/>
          <w:color w:val="000000"/>
          <w:sz w:val="24"/>
          <w:szCs w:val="24"/>
        </w:rPr>
        <w:tab/>
        <w:t>Próbę szczelności instalacji należy przeprowadzić zgodnie z wymaganiami zawartymi w „Warunkach technicznych wykonania i odbioru rurociągów z tworzyw sztucznych” oraz wytycznymi producenta rur. Próbę szczelności należy przeprowadzić przed zakryciem instalacji w całości. Przed próbą należy napełnić instalację wodą oraz dokładnie odpowietrzyć. Próbę ciśnieniową należy przeprowadzić na ciśnienie próbne o 0,2 MPa wyższe niż najwyższe ciśnienie robocze (nie mniej niż 6 bar). Ciśnienie to należy wytworzyć 2-3-krotnie w odstępach co ok. 10 minut. Po ostatnim osiągnięciu ciśnienia próbnego w przeciągu 30 minut ciśnienie nie powinno się obniżyć o więcej niż 0,6 bar. W czasie następnych 2 godzin spadek ciśnienia nie może przekroczyć 0,2 bar. W przypadku wystąpienia przecieków podczas przeprowadzania próby szczelności należy je usunąć i ponownie przeprowadzić próbę szczelności.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both"/>
        <w:rPr>
          <w:rFonts w:ascii="Arial" w:hAnsi="Arial" w:cs="Arial"/>
          <w:b w:val="false"/>
          <w:bCs w:val="false"/>
          <w:color w:val="000000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contextualSpacing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lang w:eastAsia="pl-PL"/>
        </w:rPr>
      </w:pPr>
      <w:r>
        <w:rPr>
          <w:u w:val="none"/>
        </w:rPr>
        <w:t>6.</w:t>
        <w:tab/>
        <w:t>Prace dodatkowe w ramach remontu w sali gimnastycznej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trike w:val="false"/>
          <w:dstrike w:val="false"/>
          <w:color w:val="000000"/>
          <w:sz w:val="24"/>
          <w:szCs w:val="24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1) Montaż (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w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 ramie istniejących okien w sali gimnastycznej) nawietrzaków z regulacją ręczną o zakresie wydajności  6 – 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30 m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vertAlign w:val="superscript"/>
          <w:lang w:eastAsia="pl-PL"/>
        </w:rPr>
        <w:t>3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;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A933"/>
          <w:sz w:val="24"/>
          <w:szCs w:val="24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</w:rPr>
        <w:tab/>
        <w:t>2) W wyżej wymienionym pomieszczeniu należy dokonać oczyszczenia i sprawdzenia drożności istniejących wywietrzaków sufitowych (dachowych), względnie udrożnić.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A933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A933"/>
          <w:sz w:val="24"/>
          <w:szCs w:val="24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contextualSpacing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u w:val="none"/>
        </w:rPr>
        <w:t>7. Uwagi końcowe</w:t>
      </w:r>
    </w:p>
    <w:p>
      <w:pPr>
        <w:pStyle w:val="Normal"/>
        <w:spacing w:before="0" w:after="0"/>
        <w:ind w:end="0"/>
        <w:jc w:val="both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W czasie wykonywania próby szczelności instalacji w stanie zimnym, połączonej z płukaniem, wszystkie zawory przelotowe i grzejnikowe muszą być całkowicie otwarte, a zawory termostatyczne powinny mieć nałożone zamiast głowic termostatycznych kołpaki ochronne.</w:t>
      </w:r>
    </w:p>
    <w:p>
      <w:pPr>
        <w:pStyle w:val="Normal"/>
        <w:spacing w:before="0" w:after="0"/>
        <w:ind w:end="0"/>
        <w:jc w:val="both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Ze względu na znaczną wrażliwość termostatycznych zaworów grzejnikowych oraz nowoczesnych bezdławicowych pomp obiegowych na mechaniczne zanieczyszczenia wody grzejnej instalacja wewnętrzna c.o. powinna być szczególnie starannie wypłukana.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76" w:before="0" w:after="0"/>
        <w:ind w:end="0"/>
        <w:jc w:val="both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Przed rozpoczęciem rozruchu i próbnej eksploatacji instalacji w stanie gorącym należy dokonać wstępnej regulacji urządzeń zgodnie z nastawami podanymi w dokumentacji technicznej: regulacja wstępna i jej ewentualne korekty nie wymagają spuszczania wody z instalacji.</w:t>
      </w:r>
    </w:p>
    <w:p>
      <w:pPr>
        <w:pStyle w:val="Normal"/>
        <w:spacing w:lineRule="auto" w:line="240" w:before="0" w:after="0"/>
        <w:ind w:end="0"/>
        <w:jc w:val="both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Całość robót wykonać zgodnie z częścią graficzną opracowania, wymienionymi normami oraz „Warunkami technicznymi wykonania i odbioru robót budowlano- montażowych” cz. II - Roboty instalacji sanitarnych i przemysłowych oraz z „Warunkach technicznych wykonania i odbioru rurociągów z tworzyw sztucznych”.</w:t>
      </w:r>
    </w:p>
    <w:p>
      <w:pPr>
        <w:pStyle w:val="Normal"/>
        <w:spacing w:lineRule="auto" w:line="240" w:before="0" w:after="0"/>
        <w:ind w:end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Armaturę zabezpieczyć przed dostępem niepowołanych osób.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Całość prac wykonać  zgodnie z obowiązującymi normami  i przepisami. Należy stosować urządzenia, wyroby i materiały posiadające świadectwo dopuszczenia do stosowania w budownictwie lub świadectwa kwalifikacji jakości, względnie oznaczone państwowym znakiem jakości lub znakiem bezpieczeństwa, wydanymi przez uprawnione jednostki kwalifikacyjne. 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Prace rozbiórkowe, demontażowe i montażowo – budowlane należy prowadzić pod nadzorem osoby upoważnionej przez inwestora do sprawowania kontroli nad robotami.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ab/>
        <w:t xml:space="preserve">Całość prac związanych z pracami instalacyjnymi należy prowadzić zgodnie z obowiązującymi normami i przepisami BHP. </w:t>
      </w:r>
    </w:p>
    <w:p>
      <w:pPr>
        <w:pStyle w:val="Header"/>
        <w:widowControl/>
        <w:numPr>
          <w:ilvl w:val="0"/>
          <w:numId w:val="0"/>
        </w:numPr>
        <w:tabs>
          <w:tab w:val="clear" w:pos="4536"/>
          <w:tab w:val="center" w:pos="564" w:leader="none"/>
          <w:tab w:val="right" w:pos="9072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ab/>
        <w:t xml:space="preserve">Dopuszcza się w realizacji inwestycji zastosowanie innych materiałów, urządzeń i rozwiązań pod warunkiem zachowania ich równorzędności w stosunku do wskazanych w projekcie i posiadających nie gorsze parametry techniczne i właściwości. </w:t>
        <w:tab/>
      </w:r>
    </w:p>
    <w:p>
      <w:pPr>
        <w:pStyle w:val="Header"/>
        <w:widowControl/>
        <w:tabs>
          <w:tab w:val="clear" w:pos="4536"/>
          <w:tab w:val="center" w:pos="564" w:leader="none"/>
          <w:tab w:val="right" w:pos="9072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eastAsia="pl-PL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ab/>
        <w:t xml:space="preserve">W przypadku stwierdzenia w trakcie prowadzenia robót, konieczności zastosowania innych rozwiązań wynikających z przyczyn niezależnych, należy zastosować rozwiązania zamienne po uzgodnieniu ich z Inwestorem i Projektantem. 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ab/>
      </w: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lang w:eastAsia="pl-PL"/>
        </w:rPr>
        <w:t>Po wykonaniu projektowanych prac należy wykonać sprawdzenia instalacji i niezbędnych prób szczelności.</w:t>
      </w:r>
    </w:p>
    <w:p>
      <w:pPr>
        <w:pStyle w:val="Normal"/>
        <w:suppressAutoHyphens w:val="false"/>
        <w:spacing w:lineRule="auto" w:line="240" w:before="0" w:after="0"/>
        <w:textAlignment w:val="auto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</w:r>
    </w:p>
    <w:p>
      <w:pPr>
        <w:pStyle w:val="Normal"/>
        <w:suppressAutoHyphens w:val="false"/>
        <w:spacing w:lineRule="auto" w:line="240" w:before="0" w:after="0"/>
        <w:textAlignment w:val="auto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</w:r>
    </w:p>
    <w:p>
      <w:pPr>
        <w:pStyle w:val="Normal"/>
        <w:suppressAutoHyphens w:val="false"/>
        <w:spacing w:lineRule="auto" w:line="240" w:before="0" w:after="0"/>
        <w:textAlignment w:val="auto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end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Projektant: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end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mgr inż. Marcin Laska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end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upr. nr LOD/1625/POOS/11</w:t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4" w:right="907" w:gutter="0" w:header="567" w:top="2074" w:footer="567" w:bottom="845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Times New Roman"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ymbol">
    <w:charset w:val="ee" w:characterSet="windows-1250"/>
    <w:family w:val="roman"/>
    <w:pitch w:val="variable"/>
  </w:font>
  <w:font w:name="Courier New">
    <w:charset w:val="ee" w:characterSet="windows-1250"/>
    <w:family w:val="roman"/>
    <w:pitch w:val="variable"/>
  </w:font>
  <w:font w:name="Wingdings">
    <w:charset w:val="ee" w:characterSet="windows-1250"/>
    <w:family w:val="roman"/>
    <w:pitch w:val="variable"/>
  </w:font>
  <w:font w:name="OpenSymbol">
    <w:altName w:val="Arial Unicode MS"/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sz w:val="20"/>
        <w:szCs w:val="20"/>
      </w:rPr>
    </w:pPr>
    <w:bookmarkStart w:id="0" w:name="PageNumWizard_FOOTER_Domy%25252525252525"/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>
      <w:rPr>
        <w:sz w:val="20"/>
        <w:szCs w:val="20"/>
      </w:rPr>
      <w:t>11</w:t>
    </w:r>
    <w:r>
      <w:rPr>
        <w:sz w:val="20"/>
        <w:szCs w:val="20"/>
      </w:rPr>
      <w:fldChar w:fldCharType="end"/>
    </w:r>
    <w:bookmarkEnd w:id="0"/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Arial" w:hAnsi="Arial" w:cs="Arial"/>
        <w:sz w:val="20"/>
        <w:szCs w:val="20"/>
      </w:rPr>
    </w:pPr>
    <w:r>
      <w:rPr>
        <w:rFonts w:cs="Arial" w:ascii="Arial" w:hAnsi="Arial"/>
        <w:sz w:val="20"/>
        <w:szCs w:val="20"/>
      </w:rPr>
      <w:t>1</w:t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 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>kontakt - mgr inż. arch. Łukasz Wojtysiak, tel:  606 632 999, e-mail: wokasz@wp.pl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bullet"/>
      <w:lvlText w:val=""/>
      <w:lvlJc w:val="start"/>
      <w:pPr>
        <w:tabs>
          <w:tab w:val="num" w:pos="0"/>
        </w:tabs>
        <w:ind w:star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start"/>
      <w:pPr>
        <w:tabs>
          <w:tab w:val="num" w:pos="0"/>
        </w:tabs>
        <w:ind w:star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start"/>
      <w:pPr>
        <w:tabs>
          <w:tab w:val="num" w:pos="0"/>
        </w:tabs>
        <w:ind w:star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start"/>
      <w:pPr>
        <w:tabs>
          <w:tab w:val="num" w:pos="0"/>
        </w:tabs>
        <w:ind w:start="7189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isplayBackgroundShape/>
  <w:defaultTabStop w:val="720"/>
  <w:autoHyphenation w:val="true"/>
  <w:compat>
    <w:doNotBreakWrappedTables/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overflowPunct w:val="true"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zh-CN" w:bidi="ar-SA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jc w:val="center"/>
      <w:outlineLvl w:val="0"/>
    </w:pPr>
    <w:rPr>
      <w:b/>
      <w:bCs/>
      <w:caps/>
      <w:sz w:val="28"/>
      <w:u w:val="single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suppressAutoHyphens w:val="false"/>
      <w:spacing w:before="0" w:after="0"/>
      <w:contextualSpacing/>
      <w:jc w:val="start"/>
      <w:outlineLvl w:val="1"/>
    </w:pPr>
    <w:rPr>
      <w:rFonts w:ascii="Arial" w:hAnsi="Arial"/>
      <w:b/>
      <w:sz w:val="24"/>
      <w:szCs w:val="20"/>
      <w:u w:val="single"/>
    </w:rPr>
  </w:style>
  <w:style w:type="paragraph" w:styleId="Heading3">
    <w:name w:val="Heading 3"/>
    <w:basedOn w:val="Normal"/>
    <w:next w:val="Normal"/>
    <w:qFormat/>
    <w:pPr>
      <w:keepNext w:val="true"/>
      <w:numPr>
        <w:ilvl w:val="2"/>
        <w:numId w:val="1"/>
      </w:numPr>
      <w:outlineLvl w:val="2"/>
    </w:pPr>
    <w:rPr>
      <w:sz w:val="28"/>
    </w:rPr>
  </w:style>
  <w:style w:type="paragraph" w:styleId="Heading4">
    <w:name w:val="Heading 4"/>
    <w:basedOn w:val="Normal"/>
    <w:next w:val="Normal"/>
    <w:qFormat/>
    <w:pPr>
      <w:keepNext w:val="true"/>
      <w:numPr>
        <w:ilvl w:val="3"/>
        <w:numId w:val="1"/>
      </w:numPr>
      <w:tabs>
        <w:tab w:val="clear" w:pos="720"/>
        <w:tab w:val="left" w:pos="0" w:leader="none"/>
      </w:tabs>
      <w:ind w:hanging="0" w:start="0" w:end="72"/>
      <w:jc w:val="both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qFormat/>
    <w:pPr>
      <w:keepNext w:val="true"/>
      <w:numPr>
        <w:ilvl w:val="4"/>
        <w:numId w:val="1"/>
      </w:numPr>
      <w:jc w:val="center"/>
      <w:outlineLvl w:val="4"/>
    </w:pPr>
    <w:rPr>
      <w:szCs w:val="20"/>
    </w:rPr>
  </w:style>
  <w:style w:type="paragraph" w:styleId="Heading6">
    <w:name w:val="Heading 6"/>
    <w:basedOn w:val="Normal"/>
    <w:next w:val="Normal"/>
    <w:qFormat/>
    <w:pPr>
      <w:keepNext w:val="true"/>
      <w:numPr>
        <w:ilvl w:val="5"/>
        <w:numId w:val="1"/>
      </w:numPr>
      <w:ind w:hanging="0" w:start="1123" w:end="0"/>
      <w:jc w:val="both"/>
      <w:outlineLvl w:val="5"/>
    </w:pPr>
    <w:rPr>
      <w:b/>
      <w:bCs/>
      <w:sz w:val="32"/>
    </w:rPr>
  </w:style>
  <w:style w:type="paragraph" w:styleId="Heading7">
    <w:name w:val="Heading 7"/>
    <w:basedOn w:val="Normal"/>
    <w:next w:val="Normal"/>
    <w:qFormat/>
    <w:pPr>
      <w:keepNext w:val="true"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Heading8">
    <w:name w:val="Heading 8"/>
    <w:basedOn w:val="Normal"/>
    <w:next w:val="Normal"/>
    <w:qFormat/>
    <w:pPr>
      <w:keepNext w:val="true"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Heading9">
    <w:name w:val="Heading 9"/>
    <w:basedOn w:val="Normal"/>
    <w:next w:val="Normal"/>
    <w:qFormat/>
    <w:pPr>
      <w:keepNext w:val="true"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styleId="WW8Num2z0">
    <w:name w:val="WW8Num2z0"/>
    <w:qFormat/>
    <w:rPr>
      <w:rFonts w:ascii="Symbol" w:hAnsi="Symbol" w:cs="Symbol"/>
    </w:rPr>
  </w:style>
  <w:style w:type="character" w:styleId="WW8Num2z1">
    <w:name w:val="WW8Num2z1"/>
    <w:qFormat/>
    <w:rPr>
      <w:rFonts w:ascii="Courier New" w:hAnsi="Courier New" w:cs="Courier New"/>
    </w:rPr>
  </w:style>
  <w:style w:type="character" w:styleId="WW8Num2z2">
    <w:name w:val="WW8Num2z2"/>
    <w:qFormat/>
    <w:rPr>
      <w:rFonts w:ascii="Wingdings" w:hAnsi="Wingdings" w:cs="Wingdings"/>
    </w:rPr>
  </w:style>
  <w:style w:type="character" w:styleId="WW8Num1z0">
    <w:name w:val="WW8Num1z0"/>
    <w:qFormat/>
    <w:rPr/>
  </w:style>
  <w:style w:type="character" w:styleId="WW8Num1z1">
    <w:name w:val="WW8Num1z1"/>
    <w:qFormat/>
    <w:rPr/>
  </w:style>
  <w:style w:type="character" w:styleId="WW8Num1z2">
    <w:name w:val="WW8Num1z2"/>
    <w:qFormat/>
    <w:rPr/>
  </w:style>
  <w:style w:type="character" w:styleId="WW8Num1z3">
    <w:name w:val="WW8Num1z3"/>
    <w:qFormat/>
    <w:rPr/>
  </w:style>
  <w:style w:type="character" w:styleId="WW8Num1z4">
    <w:name w:val="WW8Num1z4"/>
    <w:qFormat/>
    <w:rPr/>
  </w:style>
  <w:style w:type="character" w:styleId="WW8Num1z5">
    <w:name w:val="WW8Num1z5"/>
    <w:qFormat/>
    <w:rPr/>
  </w:style>
  <w:style w:type="character" w:styleId="WW8Num1z6">
    <w:name w:val="WW8Num1z6"/>
    <w:qFormat/>
    <w:rPr/>
  </w:style>
  <w:style w:type="character" w:styleId="WW8Num1z7">
    <w:name w:val="WW8Num1z7"/>
    <w:qFormat/>
    <w:rPr/>
  </w:style>
  <w:style w:type="character" w:styleId="WW8Num1z8">
    <w:name w:val="WW8Num1z8"/>
    <w:qFormat/>
    <w:rPr/>
  </w:style>
  <w:style w:type="character" w:styleId="WW8Num3z0">
    <w:name w:val="WW8Num3z0"/>
    <w:qFormat/>
    <w:rPr>
      <w:rFonts w:ascii="Symbol" w:hAnsi="Symbol" w:cs="OpenSymbol;Arial Unicode MS"/>
    </w:rPr>
  </w:style>
  <w:style w:type="character" w:styleId="WW8Num3z1">
    <w:name w:val="WW8Num3z1"/>
    <w:qFormat/>
    <w:rPr>
      <w:rFonts w:ascii="Courier New" w:hAnsi="Courier New" w:cs="OpenSymbol;Arial Unicode MS"/>
    </w:rPr>
  </w:style>
  <w:style w:type="character" w:styleId="WW8Num3z2">
    <w:name w:val="WW8Num3z2"/>
    <w:qFormat/>
    <w:rPr>
      <w:rFonts w:ascii="Wingdings" w:hAnsi="Wingdings" w:cs="Wingdings"/>
    </w:rPr>
  </w:style>
  <w:style w:type="character" w:styleId="WW8Num4z0">
    <w:name w:val="WW8Num4z0"/>
    <w:qFormat/>
    <w:rPr>
      <w:rFonts w:ascii="Symbol" w:hAnsi="Symbol" w:cs="OpenSymbol;Arial Unicode MS"/>
    </w:rPr>
  </w:style>
  <w:style w:type="character" w:styleId="WW8Num4z1">
    <w:name w:val="WW8Num4z1"/>
    <w:qFormat/>
    <w:rPr>
      <w:rFonts w:ascii="OpenSymbol;Arial Unicode MS" w:hAnsi="OpenSymbol;Arial Unicode MS" w:cs="OpenSymbol;Arial Unicode MS"/>
    </w:rPr>
  </w:style>
  <w:style w:type="character" w:styleId="WW8Num5z0">
    <w:name w:val="WW8Num5z0"/>
    <w:qFormat/>
    <w:rPr>
      <w:rFonts w:ascii="Symbol" w:hAnsi="Symbol" w:cs="OpenSymbol;Arial Unicode MS"/>
    </w:rPr>
  </w:style>
  <w:style w:type="character" w:styleId="WW8Num5z1">
    <w:name w:val="WW8Num5z1"/>
    <w:qFormat/>
    <w:rPr>
      <w:rFonts w:ascii="OpenSymbol;Arial Unicode MS" w:hAnsi="OpenSymbol;Arial Unicode MS" w:cs="OpenSymbol;Arial Unicode MS"/>
    </w:rPr>
  </w:style>
  <w:style w:type="character" w:styleId="WW8Num6z0">
    <w:name w:val="WW8Num6z0"/>
    <w:qFormat/>
    <w:rPr>
      <w:rFonts w:ascii="Symbol" w:hAnsi="Symbol" w:cs="OpenSymbol;Arial Unicode MS"/>
    </w:rPr>
  </w:style>
  <w:style w:type="character" w:styleId="WW8Num6z1">
    <w:name w:val="WW8Num6z1"/>
    <w:qFormat/>
    <w:rPr>
      <w:rFonts w:ascii="OpenSymbol;Arial Unicode MS" w:hAnsi="OpenSymbol;Arial Unicode MS" w:cs="OpenSymbol;Arial Unicode MS"/>
    </w:rPr>
  </w:style>
  <w:style w:type="character" w:styleId="WW8Num8z0">
    <w:name w:val="WW8Num8z0"/>
    <w:qFormat/>
    <w:rPr>
      <w:rFonts w:ascii="Symbol" w:hAnsi="Symbol" w:cs="OpenSymbol;Arial Unicode MS"/>
    </w:rPr>
  </w:style>
  <w:style w:type="character" w:styleId="WW8Num8z1">
    <w:name w:val="WW8Num8z1"/>
    <w:qFormat/>
    <w:rPr>
      <w:rFonts w:ascii="OpenSymbol;Arial Unicode MS" w:hAnsi="OpenSymbol;Arial Unicode MS" w:cs="OpenSymbol;Arial Unicode MS"/>
    </w:rPr>
  </w:style>
  <w:style w:type="character" w:styleId="WW8Num7z0">
    <w:name w:val="WW8Num7z0"/>
    <w:qFormat/>
    <w:rPr>
      <w:rFonts w:ascii="Symbol" w:hAnsi="Symbol" w:cs="OpenSymbol;Arial Unicode MS"/>
    </w:rPr>
  </w:style>
  <w:style w:type="character" w:styleId="WW8Num7z1">
    <w:name w:val="WW8Num7z1"/>
    <w:qFormat/>
    <w:rPr>
      <w:rFonts w:ascii="OpenSymbol;Arial Unicode MS" w:hAnsi="OpenSymbol;Arial Unicode MS" w:cs="OpenSymbol;Arial Unicode MS"/>
    </w:rPr>
  </w:style>
  <w:style w:type="character" w:styleId="WW8Num7z2">
    <w:name w:val="WW8Num7z2"/>
    <w:qFormat/>
    <w:rPr>
      <w:rFonts w:ascii="Wingdings" w:hAnsi="Wingdings" w:cs="Wingdings"/>
    </w:rPr>
  </w:style>
  <w:style w:type="character" w:styleId="WW8Num7z3">
    <w:name w:val="WW8Num7z3"/>
    <w:qFormat/>
    <w:rPr>
      <w:rFonts w:ascii="Symbol" w:hAnsi="Symbol" w:cs="Symbol"/>
    </w:rPr>
  </w:style>
  <w:style w:type="character" w:styleId="WW8Num9z0">
    <w:name w:val="WW8Num9z0"/>
    <w:qFormat/>
    <w:rPr>
      <w:rFonts w:ascii="Wingdings" w:hAnsi="Wingdings" w:cs="Wingdings"/>
    </w:rPr>
  </w:style>
  <w:style w:type="character" w:styleId="WW8Num9z1">
    <w:name w:val="WW8Num9z1"/>
    <w:qFormat/>
    <w:rPr>
      <w:rFonts w:ascii="Courier New" w:hAnsi="Courier New" w:cs="Courier New"/>
    </w:rPr>
  </w:style>
  <w:style w:type="character" w:styleId="WW8Num9z3">
    <w:name w:val="WW8Num9z3"/>
    <w:qFormat/>
    <w:rPr>
      <w:rFonts w:ascii="Symbol" w:hAnsi="Symbol" w:cs="Symbol"/>
    </w:rPr>
  </w:style>
  <w:style w:type="character" w:styleId="WW8Num10z0">
    <w:name w:val="WW8Num10z0"/>
    <w:qFormat/>
    <w:rPr>
      <w:rFonts w:ascii="Symbol" w:hAnsi="Symbol" w:cs="Symbol"/>
    </w:rPr>
  </w:style>
  <w:style w:type="character" w:styleId="WW8Num10z1">
    <w:name w:val="WW8Num10z1"/>
    <w:qFormat/>
    <w:rPr>
      <w:rFonts w:ascii="Courier New" w:hAnsi="Courier New" w:cs="Courier New"/>
    </w:rPr>
  </w:style>
  <w:style w:type="character" w:styleId="WW8Num10z2">
    <w:name w:val="WW8Num10z2"/>
    <w:qFormat/>
    <w:rPr>
      <w:rFonts w:ascii="Wingdings" w:hAnsi="Wingdings" w:cs="Wingdings"/>
    </w:rPr>
  </w:style>
  <w:style w:type="character" w:styleId="WW8Num11z0">
    <w:name w:val="WW8Num11z0"/>
    <w:qFormat/>
    <w:rPr/>
  </w:style>
  <w:style w:type="character" w:styleId="WW8Num12z0">
    <w:name w:val="WW8Num12z0"/>
    <w:qFormat/>
    <w:rPr>
      <w:b/>
    </w:rPr>
  </w:style>
  <w:style w:type="character" w:styleId="WW8Num13z0">
    <w:name w:val="WW8Num13z0"/>
    <w:qFormat/>
    <w:rPr/>
  </w:style>
  <w:style w:type="character" w:styleId="WW8Num14z0">
    <w:name w:val="WW8Num14z0"/>
    <w:qFormat/>
    <w:rPr/>
  </w:style>
  <w:style w:type="character" w:styleId="WW8Num15z0">
    <w:name w:val="WW8Num15z0"/>
    <w:qFormat/>
    <w:rPr/>
  </w:style>
  <w:style w:type="character" w:styleId="WW8Num16z0">
    <w:name w:val="WW8Num16z0"/>
    <w:qFormat/>
    <w:rPr/>
  </w:style>
  <w:style w:type="character" w:styleId="WW8Num17z0">
    <w:name w:val="WW8Num17z0"/>
    <w:qFormat/>
    <w:rPr>
      <w:rFonts w:ascii="Symbol" w:hAnsi="Symbol" w:cs="Symbol"/>
    </w:rPr>
  </w:style>
  <w:style w:type="character" w:styleId="WW8Num17z1">
    <w:name w:val="WW8Num17z1"/>
    <w:qFormat/>
    <w:rPr>
      <w:rFonts w:ascii="Courier New" w:hAnsi="Courier New" w:cs="Courier New"/>
    </w:rPr>
  </w:style>
  <w:style w:type="character" w:styleId="WW8Num17z2">
    <w:name w:val="WW8Num17z2"/>
    <w:qFormat/>
    <w:rPr>
      <w:rFonts w:ascii="Wingdings" w:hAnsi="Wingdings" w:cs="Wingdings"/>
    </w:rPr>
  </w:style>
  <w:style w:type="character" w:styleId="WW8Num18z0">
    <w:name w:val="WW8Num18z0"/>
    <w:qFormat/>
    <w:rPr/>
  </w:style>
  <w:style w:type="character" w:styleId="WW8Num19z0">
    <w:name w:val="WW8Num19z0"/>
    <w:qFormat/>
    <w:rPr/>
  </w:style>
  <w:style w:type="character" w:styleId="WW8Num20z0">
    <w:name w:val="WW8Num20z0"/>
    <w:qFormat/>
    <w:rPr/>
  </w:style>
  <w:style w:type="character" w:styleId="WW8Num21z0">
    <w:name w:val="WW8Num21z0"/>
    <w:qFormat/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2z0">
    <w:name w:val="WW8Num22z0"/>
    <w:qFormat/>
    <w:rPr/>
  </w:style>
  <w:style w:type="character" w:styleId="WW8Num23z0">
    <w:name w:val="WW8Num23z0"/>
    <w:qFormat/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4z0">
    <w:name w:val="WW8Num24z0"/>
    <w:qFormat/>
    <w:rPr/>
  </w:style>
  <w:style w:type="character" w:styleId="WW8Num25z0">
    <w:name w:val="WW8Num25z0"/>
    <w:qFormat/>
    <w:rPr/>
  </w:style>
  <w:style w:type="character" w:styleId="WW8Num26z0">
    <w:name w:val="WW8Num26z0"/>
    <w:qFormat/>
    <w:rPr/>
  </w:style>
  <w:style w:type="character" w:styleId="WW8Num27z0">
    <w:name w:val="WW8Num27z0"/>
    <w:qFormat/>
    <w:rPr/>
  </w:style>
  <w:style w:type="character" w:styleId="WW8Num27z1">
    <w:name w:val="WW8Num27z1"/>
    <w:qFormat/>
    <w:rPr>
      <w:rFonts w:ascii="Wingdings" w:hAnsi="Wingdings" w:cs="Wingdings"/>
    </w:rPr>
  </w:style>
  <w:style w:type="character" w:styleId="WW8Num28z0">
    <w:name w:val="WW8Num28z0"/>
    <w:qFormat/>
    <w:rPr/>
  </w:style>
  <w:style w:type="character" w:styleId="WW8Num29z0">
    <w:name w:val="WW8Num29z0"/>
    <w:qFormat/>
    <w:rPr/>
  </w:style>
  <w:style w:type="character" w:styleId="WW8Num30z0">
    <w:name w:val="WW8Num30z0"/>
    <w:qFormat/>
    <w:rPr>
      <w:rFonts w:ascii="Symbol" w:hAnsi="Symbol" w:cs="Symbol"/>
      <w:b/>
      <w:i w:val="false"/>
    </w:rPr>
  </w:style>
  <w:style w:type="character" w:styleId="WW8Num30z1">
    <w:name w:val="WW8Num30z1"/>
    <w:qFormat/>
    <w:rPr>
      <w:rFonts w:ascii="Courier New" w:hAnsi="Courier New" w:cs="Courier New"/>
    </w:rPr>
  </w:style>
  <w:style w:type="character" w:styleId="WW8Num30z2">
    <w:name w:val="WW8Num30z2"/>
    <w:qFormat/>
    <w:rPr>
      <w:rFonts w:ascii="Wingdings" w:hAnsi="Wingdings" w:cs="Wingdings"/>
    </w:rPr>
  </w:style>
  <w:style w:type="character" w:styleId="WW8Num30z3">
    <w:name w:val="WW8Num30z3"/>
    <w:qFormat/>
    <w:rPr>
      <w:rFonts w:ascii="Symbol" w:hAnsi="Symbol" w:cs="Symbol"/>
    </w:rPr>
  </w:style>
  <w:style w:type="character" w:styleId="WW8Num31z0">
    <w:name w:val="WW8Num31z0"/>
    <w:qFormat/>
    <w:rPr>
      <w:rFonts w:ascii="Symbol" w:hAnsi="Symbol" w:cs="Symbol"/>
    </w:rPr>
  </w:style>
  <w:style w:type="character" w:styleId="WW8Num31z1">
    <w:name w:val="WW8Num31z1"/>
    <w:qFormat/>
    <w:rPr>
      <w:rFonts w:ascii="Courier New" w:hAnsi="Courier New" w:cs="Courier New"/>
    </w:rPr>
  </w:style>
  <w:style w:type="character" w:styleId="WW8Num31z2">
    <w:name w:val="WW8Num31z2"/>
    <w:qFormat/>
    <w:rPr>
      <w:rFonts w:ascii="Wingdings" w:hAnsi="Wingdings" w:cs="Wingdings"/>
    </w:rPr>
  </w:style>
  <w:style w:type="character" w:styleId="WW8Num32z0">
    <w:name w:val="WW8Num32z0"/>
    <w:qFormat/>
    <w:rPr>
      <w:color w:val="000000"/>
    </w:rPr>
  </w:style>
  <w:style w:type="character" w:styleId="WW8Num33z0">
    <w:name w:val="WW8Num33z0"/>
    <w:qFormat/>
    <w:rPr/>
  </w:style>
  <w:style w:type="character" w:styleId="WW8Num34z0">
    <w:name w:val="WW8Num34z0"/>
    <w:qFormat/>
    <w:rPr/>
  </w:style>
  <w:style w:type="character" w:styleId="WW8Num35z0">
    <w:name w:val="WW8Num35z0"/>
    <w:qFormat/>
    <w:rPr/>
  </w:style>
  <w:style w:type="character" w:styleId="WW8Num36z0">
    <w:name w:val="WW8Num36z0"/>
    <w:qFormat/>
    <w:rPr>
      <w:rFonts w:ascii="Arial" w:hAnsi="Arial" w:eastAsia="Times New Roman" w:cs="Arial"/>
    </w:rPr>
  </w:style>
  <w:style w:type="character" w:styleId="WW8Num37z0">
    <w:name w:val="WW8Num37z0"/>
    <w:qFormat/>
    <w:rPr/>
  </w:style>
  <w:style w:type="character" w:styleId="WW8Num38z0">
    <w:name w:val="WW8Num38z0"/>
    <w:qFormat/>
    <w:rPr>
      <w:b/>
      <w:i w:val="false"/>
    </w:rPr>
  </w:style>
  <w:style w:type="character" w:styleId="WW8Num38z1">
    <w:name w:val="WW8Num38z1"/>
    <w:qFormat/>
    <w:rPr>
      <w:rFonts w:ascii="Symbol" w:hAnsi="Symbol" w:cs="Symbol"/>
      <w:b/>
      <w:i w:val="false"/>
    </w:rPr>
  </w:style>
  <w:style w:type="character" w:styleId="WW8Num38z2">
    <w:name w:val="WW8Num38z2"/>
    <w:qFormat/>
    <w:rPr/>
  </w:style>
  <w:style w:type="character" w:styleId="WW8Num39z0">
    <w:name w:val="WW8Num39z0"/>
    <w:qFormat/>
    <w:rPr>
      <w:rFonts w:ascii="Symbol" w:hAnsi="Symbol" w:cs="Symbol"/>
    </w:rPr>
  </w:style>
  <w:style w:type="character" w:styleId="WW8Num39z1">
    <w:name w:val="WW8Num39z1"/>
    <w:qFormat/>
    <w:rPr>
      <w:rFonts w:ascii="Courier New" w:hAnsi="Courier New" w:cs="Courier New"/>
    </w:rPr>
  </w:style>
  <w:style w:type="character" w:styleId="WW8Num39z2">
    <w:name w:val="WW8Num39z2"/>
    <w:qFormat/>
    <w:rPr>
      <w:rFonts w:ascii="Wingdings" w:hAnsi="Wingdings" w:cs="Wingdings"/>
    </w:rPr>
  </w:style>
  <w:style w:type="character" w:styleId="Domylnaczcionkaakapitu">
    <w:name w:val="Domyślna czcionka akapitu"/>
    <w:qFormat/>
    <w:rPr/>
  </w:style>
  <w:style w:type="character" w:styleId="NagwekZnak">
    <w:name w:val="Nagłówek Znak"/>
    <w:qFormat/>
    <w:rPr>
      <w:sz w:val="24"/>
      <w:szCs w:val="24"/>
    </w:rPr>
  </w:style>
  <w:style w:type="character" w:styleId="Znakiwypunktowania">
    <w:name w:val="Znaki wypunktowania"/>
    <w:qFormat/>
    <w:rPr>
      <w:rFonts w:ascii="OpenSymbol;Arial Unicode MS" w:hAnsi="OpenSymbol;Arial Unicode MS" w:eastAsia="OpenSymbol;Arial Unicode MS" w:cs="OpenSymbol;Arial Unicode MS"/>
    </w:rPr>
  </w:style>
  <w:style w:type="character" w:styleId="Znakinumeracji">
    <w:name w:val="Znaki numeracji"/>
    <w:qFormat/>
    <w:rPr/>
  </w:style>
  <w:style w:type="character" w:styleId="Hyperlink">
    <w:name w:val="Hyperlink"/>
    <w:rPr>
      <w:color w:val="000080"/>
      <w:u w:val="single"/>
    </w:rPr>
  </w:style>
  <w:style w:type="character" w:styleId="WW8Num5z2">
    <w:name w:val="WW8Num5z2"/>
    <w:qFormat/>
    <w:rPr>
      <w:rFonts w:ascii="Wingdings" w:hAnsi="Wingdings" w:cs="Wingdings"/>
    </w:rPr>
  </w:style>
  <w:style w:type="character" w:styleId="WW8Num6z2">
    <w:name w:val="WW8Num6z2"/>
    <w:qFormat/>
    <w:rPr>
      <w:rFonts w:ascii="Wingdings" w:hAnsi="Wingdings" w:cs="Wingdings"/>
    </w:rPr>
  </w:style>
  <w:style w:type="character" w:styleId="WW8Num18z1">
    <w:name w:val="WW8Num18z1"/>
    <w:qFormat/>
    <w:rPr>
      <w:rFonts w:ascii="Courier New" w:hAnsi="Courier New" w:cs="Courier New"/>
    </w:rPr>
  </w:style>
  <w:style w:type="character" w:styleId="WW8Num18z2">
    <w:name w:val="WW8Num18z2"/>
    <w:qFormat/>
    <w:rPr>
      <w:rFonts w:ascii="Wingdings" w:hAnsi="Wingdings" w:cs="Wingdings"/>
    </w:rPr>
  </w:style>
  <w:style w:type="character" w:styleId="Strong">
    <w:name w:val="Strong"/>
    <w:qFormat/>
    <w:rPr>
      <w:b/>
      <w:bCs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uppressAutoHyphens w:val="true"/>
    </w:pPr>
    <w:rPr>
      <w:rFonts w:ascii="Arial" w:hAnsi="Arial" w:cs="Arial"/>
      <w:szCs w:val="20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">
    <w:name w:val="Caption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">
    <w:name w:val="Caption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">
    <w:name w:val="Caption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">
    <w:name w:val="Caption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">
    <w:name w:val="Caption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">
    <w:name w:val="Caption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">
    <w:name w:val="Caption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">
    <w:name w:val="Caption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">
    <w:name w:val="Caption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">
    <w:name w:val="Caption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">
    <w:name w:val="Caption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">
    <w:name w:val="Caption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">
    <w:name w:val="Caption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">
    <w:name w:val="Caption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">
    <w:name w:val="Caption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">
    <w:name w:val="Caption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">
    <w:name w:val="Caption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">
    <w:name w:val="Caption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">
    <w:name w:val="Caption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">
    <w:name w:val="Caption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">
    <w:name w:val="Caption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">
    <w:name w:val="Caption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">
    <w:name w:val="Caption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">
    <w:name w:val="Caption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">
    <w:name w:val="Caption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">
    <w:name w:val="Caption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">
    <w:name w:val="Caption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">
    <w:name w:val="Caption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">
    <w:name w:val="Caption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">
    <w:name w:val="Caption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">
    <w:name w:val="Caption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">
    <w:name w:val="Caption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">
    <w:name w:val="Caption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">
    <w:name w:val="Caption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">
    <w:name w:val="Caption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">
    <w:name w:val="Caption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">
    <w:name w:val="Caption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">
    <w:name w:val="Caption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">
    <w:name w:val="Caption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">
    <w:name w:val="Caption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">
    <w:name w:val="Caption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">
    <w:name w:val="Caption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Gwkaistopka">
    <w:name w:val="Główka i stopka"/>
    <w:basedOn w:val="Normal"/>
    <w:qFormat/>
    <w:pPr>
      <w:suppressLineNumbers/>
      <w:tabs>
        <w:tab w:val="clear" w:pos="720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Normal"/>
    <w:pPr>
      <w:tabs>
        <w:tab w:val="clear" w:pos="720"/>
        <w:tab w:val="center" w:pos="4536" w:leader="none"/>
        <w:tab w:val="right" w:pos="9072" w:leader="none"/>
      </w:tabs>
    </w:pPr>
    <w:rPr>
      <w:lang w:val="pl-PL"/>
    </w:rPr>
  </w:style>
  <w:style w:type="paragraph" w:styleId="Tekstpodstawowy2">
    <w:name w:val="Tekst podstawowy 2"/>
    <w:basedOn w:val="Normal"/>
    <w:qFormat/>
    <w:pPr>
      <w:jc w:val="both"/>
    </w:pPr>
    <w:rPr>
      <w:szCs w:val="20"/>
    </w:rPr>
  </w:style>
  <w:style w:type="paragraph" w:styleId="BodyTextIndent">
    <w:name w:val="Body Text Indent"/>
    <w:basedOn w:val="Normal"/>
    <w:pPr>
      <w:ind w:hanging="0" w:start="115" w:end="0"/>
    </w:pPr>
    <w:rPr>
      <w:color w:val="000000"/>
      <w:spacing w:val="-8"/>
      <w:sz w:val="25"/>
      <w:szCs w:val="25"/>
    </w:rPr>
  </w:style>
  <w:style w:type="paragraph" w:styleId="Tekstblokowy">
    <w:name w:val="Tekst blokowy"/>
    <w:basedOn w:val="Normal"/>
    <w:qFormat/>
    <w:pPr>
      <w:ind w:hanging="360" w:start="1080" w:end="922"/>
      <w:jc w:val="both"/>
    </w:pPr>
    <w:rPr>
      <w:color w:val="000000"/>
      <w:sz w:val="26"/>
      <w:szCs w:val="25"/>
    </w:rPr>
  </w:style>
  <w:style w:type="paragraph" w:styleId="Tekstpodstawowywcity2">
    <w:name w:val="Tekst podstawowy wcięty 2"/>
    <w:basedOn w:val="Normal"/>
    <w:qFormat/>
    <w:pPr>
      <w:ind w:firstLine="708" w:start="0" w:end="0"/>
      <w:jc w:val="both"/>
    </w:pPr>
    <w:rPr>
      <w:szCs w:val="20"/>
    </w:rPr>
  </w:style>
  <w:style w:type="paragraph" w:styleId="Tekstpodstawowy3">
    <w:name w:val="Tekst podstawowy 3"/>
    <w:basedOn w:val="Normal"/>
    <w:qFormat/>
    <w:pPr>
      <w:tabs>
        <w:tab w:val="clear" w:pos="720"/>
        <w:tab w:val="left" w:pos="9000" w:leader="none"/>
      </w:tabs>
      <w:ind w:hanging="0" w:start="0" w:end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Tekst podstawowy wcięty 3"/>
    <w:basedOn w:val="Normal"/>
    <w:qFormat/>
    <w:pPr>
      <w:ind w:firstLine="708" w:start="0" w:end="0"/>
      <w:jc w:val="both"/>
    </w:pPr>
    <w:rPr>
      <w:rFonts w:ascii="Arial" w:hAnsi="Arial" w:cs="Arial"/>
      <w:i/>
      <w:iCs/>
    </w:rPr>
  </w:style>
  <w:style w:type="paragraph" w:styleId="Akapitzlist">
    <w:name w:val="Akapit z listą"/>
    <w:basedOn w:val="Normal"/>
    <w:qFormat/>
    <w:pPr>
      <w:ind w:hanging="0" w:start="708" w:end="0"/>
    </w:pPr>
    <w:rPr/>
  </w:style>
  <w:style w:type="paragraph" w:styleId="Tekstpodstawowywcity1">
    <w:name w:val="Tekst podstawowy wcięty1"/>
    <w:basedOn w:val="Normal"/>
    <w:qFormat/>
    <w:pPr>
      <w:suppressAutoHyphens w:val="true"/>
      <w:ind w:hanging="0" w:start="480" w:end="0"/>
    </w:pPr>
    <w:rPr>
      <w:rFonts w:ascii="Arial" w:hAnsi="Arial" w:cs="Arial"/>
    </w:rPr>
  </w:style>
  <w:style w:type="paragraph" w:styleId="Footer">
    <w:name w:val="Footer"/>
    <w:basedOn w:val="Gwkaistopka"/>
    <w:pPr>
      <w:suppressLineNumbers/>
      <w:tabs>
        <w:tab w:val="clear" w:pos="4819"/>
        <w:tab w:val="clear" w:pos="9638"/>
        <w:tab w:val="center" w:pos="4294" w:leader="none"/>
        <w:tab w:val="right" w:pos="8589" w:leader="none"/>
      </w:tabs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lewa">
    <w:name w:val="Główka lewa"/>
    <w:basedOn w:val="Header"/>
    <w:qFormat/>
    <w:pPr>
      <w:suppressLineNumbers/>
      <w:tabs>
        <w:tab w:val="clear" w:pos="4536"/>
        <w:tab w:val="clear" w:pos="9072"/>
        <w:tab w:val="center" w:pos="4479" w:leader="none"/>
        <w:tab w:val="right" w:pos="8958" w:leader="none"/>
      </w:tabs>
    </w:pPr>
    <w:rPr/>
  </w:style>
  <w:style w:type="paragraph" w:styleId="ListParagraph">
    <w:name w:val="List Paragraph"/>
    <w:basedOn w:val="Normal"/>
    <w:qFormat/>
    <w:pPr>
      <w:numPr>
        <w:ilvl w:val="0"/>
        <w:numId w:val="0"/>
      </w:numPr>
      <w:ind w:hanging="0" w:start="720" w:end="0"/>
    </w:pPr>
    <w:rPr/>
  </w:style>
  <w:style w:type="paragraph" w:styleId="Standard">
    <w:name w:val="Standard"/>
    <w:qFormat/>
    <w:pPr>
      <w:widowControl/>
      <w:suppressAutoHyphens w:val="true"/>
      <w:overflowPunct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numbering" w:styleId="WW8Num1">
    <w:name w:val="WW8Num1"/>
    <w:qFormat/>
  </w:style>
  <w:style w:type="numbering" w:styleId="WW8Num2">
    <w:name w:val="WW8Num2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jpe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21869</TotalTime>
  <Application>LibreOffice/7.6.2.1$Windows_X86_64 LibreOffice_project/56f7684011345957bbf33a7ee678afaf4d2ba333</Application>
  <AppVersion>15.0000</AppVersion>
  <Pages>11</Pages>
  <Words>2393</Words>
  <Characters>15851</Characters>
  <CharactersWithSpaces>18183</CharactersWithSpaces>
  <Paragraphs>183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2017-12-10T14:22:00Z</dcterms:created>
  <dc:creator>LUCAS</dc:creator>
  <dc:description/>
  <dc:language>pl-PL</dc:language>
  <cp:lastModifiedBy/>
  <cp:lastPrinted>2025-06-15T19:08:00Z</cp:lastPrinted>
  <dcterms:modified xsi:type="dcterms:W3CDTF">2026-03-17T17:15:19Z</dcterms:modified>
  <cp:revision>673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